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C4" w:rsidRPr="003723CE" w:rsidRDefault="00EB01C4" w:rsidP="00EB01C4">
      <w:pPr>
        <w:jc w:val="center"/>
        <w:rPr>
          <w:rFonts w:ascii="Arial" w:hAnsi="Arial" w:cs="Arial"/>
          <w:b/>
          <w:bCs/>
          <w:sz w:val="26"/>
          <w:szCs w:val="26"/>
        </w:rPr>
      </w:pPr>
      <w:r w:rsidRPr="003723CE">
        <w:rPr>
          <w:rFonts w:ascii="Arial" w:hAnsi="Arial" w:cs="Arial"/>
          <w:b/>
          <w:bCs/>
          <w:sz w:val="26"/>
          <w:szCs w:val="26"/>
        </w:rPr>
        <w:t>PROYECTO DE LEY NÚMERO _____ DE 2019</w:t>
      </w:r>
    </w:p>
    <w:p w:rsidR="00EB01C4" w:rsidRPr="003723CE" w:rsidRDefault="00EB01C4" w:rsidP="00EB01C4">
      <w:pPr>
        <w:jc w:val="center"/>
        <w:rPr>
          <w:rFonts w:ascii="Arial" w:hAnsi="Arial" w:cs="Arial"/>
          <w:b/>
          <w:bCs/>
          <w:sz w:val="26"/>
          <w:szCs w:val="26"/>
        </w:rPr>
      </w:pPr>
    </w:p>
    <w:p w:rsidR="00EB01C4" w:rsidRPr="003723CE" w:rsidRDefault="00EB01C4" w:rsidP="00EB01C4">
      <w:pPr>
        <w:jc w:val="center"/>
        <w:rPr>
          <w:rFonts w:ascii="Arial" w:hAnsi="Arial" w:cs="Arial"/>
          <w:b/>
          <w:bCs/>
          <w:sz w:val="26"/>
          <w:szCs w:val="26"/>
        </w:rPr>
      </w:pPr>
      <w:r w:rsidRPr="003723CE">
        <w:rPr>
          <w:rFonts w:ascii="Arial" w:hAnsi="Arial" w:cs="Arial"/>
          <w:b/>
          <w:bCs/>
          <w:sz w:val="26"/>
          <w:szCs w:val="26"/>
        </w:rPr>
        <w:t xml:space="preserve">“POR LA CUAL </w:t>
      </w:r>
      <w:r w:rsidR="002F12B4" w:rsidRPr="003723CE">
        <w:rPr>
          <w:rFonts w:ascii="Arial" w:hAnsi="Arial" w:cs="Arial"/>
          <w:b/>
          <w:bCs/>
          <w:sz w:val="26"/>
          <w:szCs w:val="26"/>
        </w:rPr>
        <w:t xml:space="preserve">SE </w:t>
      </w:r>
      <w:r w:rsidR="00634729">
        <w:rPr>
          <w:rFonts w:ascii="Arial" w:hAnsi="Arial" w:cs="Arial"/>
          <w:b/>
          <w:bCs/>
          <w:sz w:val="26"/>
          <w:szCs w:val="26"/>
        </w:rPr>
        <w:t>MODIFICA EL ARTÍCULO 48 DE LA LEY 1551 DE 2012 Y SE DICTAN OTRAS DISPOSICIONES</w:t>
      </w:r>
      <w:r w:rsidRPr="003723CE">
        <w:rPr>
          <w:rFonts w:ascii="Arial" w:hAnsi="Arial" w:cs="Arial"/>
          <w:b/>
          <w:bCs/>
          <w:sz w:val="26"/>
          <w:szCs w:val="26"/>
        </w:rPr>
        <w:t>”</w:t>
      </w:r>
    </w:p>
    <w:p w:rsidR="00EB01C4" w:rsidRPr="003723CE" w:rsidRDefault="00EB01C4" w:rsidP="00EB01C4">
      <w:pPr>
        <w:jc w:val="center"/>
        <w:rPr>
          <w:rFonts w:ascii="Arial" w:hAnsi="Arial" w:cs="Arial"/>
          <w:sz w:val="26"/>
          <w:szCs w:val="26"/>
        </w:rPr>
      </w:pPr>
    </w:p>
    <w:p w:rsidR="00EB01C4" w:rsidRPr="003723CE" w:rsidRDefault="00EB01C4" w:rsidP="00EB01C4">
      <w:pPr>
        <w:jc w:val="center"/>
        <w:rPr>
          <w:rFonts w:ascii="Arial" w:hAnsi="Arial" w:cs="Arial"/>
          <w:sz w:val="26"/>
          <w:szCs w:val="26"/>
        </w:rPr>
      </w:pPr>
    </w:p>
    <w:p w:rsidR="00EB01C4" w:rsidRPr="003723CE" w:rsidRDefault="00EB01C4" w:rsidP="00EB01C4">
      <w:pPr>
        <w:jc w:val="center"/>
        <w:rPr>
          <w:rFonts w:ascii="Arial" w:hAnsi="Arial" w:cs="Arial"/>
          <w:sz w:val="26"/>
          <w:szCs w:val="26"/>
        </w:rPr>
      </w:pPr>
      <w:r w:rsidRPr="003723CE">
        <w:rPr>
          <w:rFonts w:ascii="Arial" w:hAnsi="Arial" w:cs="Arial"/>
          <w:sz w:val="26"/>
          <w:szCs w:val="26"/>
        </w:rPr>
        <w:t xml:space="preserve">El Congreso de la República </w:t>
      </w:r>
    </w:p>
    <w:p w:rsidR="00EB01C4" w:rsidRPr="003723CE" w:rsidRDefault="00EB01C4" w:rsidP="00EB01C4">
      <w:pPr>
        <w:jc w:val="center"/>
        <w:rPr>
          <w:rFonts w:ascii="Arial" w:hAnsi="Arial" w:cs="Arial"/>
          <w:sz w:val="26"/>
          <w:szCs w:val="26"/>
        </w:rPr>
      </w:pPr>
    </w:p>
    <w:p w:rsidR="00EB01C4" w:rsidRPr="003723CE" w:rsidRDefault="00EB01C4" w:rsidP="00EB01C4">
      <w:pPr>
        <w:jc w:val="center"/>
        <w:rPr>
          <w:rFonts w:ascii="Arial" w:hAnsi="Arial" w:cs="Arial"/>
          <w:sz w:val="26"/>
          <w:szCs w:val="26"/>
        </w:rPr>
      </w:pPr>
      <w:r w:rsidRPr="003723CE">
        <w:rPr>
          <w:rFonts w:ascii="Arial" w:hAnsi="Arial" w:cs="Arial"/>
          <w:sz w:val="26"/>
          <w:szCs w:val="26"/>
        </w:rPr>
        <w:t>Decreta</w:t>
      </w:r>
    </w:p>
    <w:p w:rsidR="00CB4831" w:rsidRPr="003723CE" w:rsidRDefault="00071D6A">
      <w:pPr>
        <w:rPr>
          <w:rFonts w:ascii="Arial" w:hAnsi="Arial" w:cs="Arial"/>
          <w:sz w:val="26"/>
          <w:szCs w:val="26"/>
        </w:rPr>
      </w:pPr>
    </w:p>
    <w:p w:rsidR="00EB01C4" w:rsidRPr="003723CE" w:rsidRDefault="00EB01C4" w:rsidP="00F22884">
      <w:pPr>
        <w:jc w:val="both"/>
        <w:rPr>
          <w:rFonts w:ascii="Arial" w:hAnsi="Arial" w:cs="Arial"/>
          <w:sz w:val="26"/>
          <w:szCs w:val="26"/>
        </w:rPr>
      </w:pPr>
      <w:r w:rsidRPr="003723CE">
        <w:rPr>
          <w:rFonts w:ascii="Arial" w:hAnsi="Arial" w:cs="Arial"/>
          <w:b/>
          <w:sz w:val="26"/>
          <w:szCs w:val="26"/>
        </w:rPr>
        <w:t xml:space="preserve">Artículo 1º. Objeto. </w:t>
      </w:r>
      <w:r w:rsidRPr="003723CE">
        <w:rPr>
          <w:rFonts w:ascii="Arial" w:hAnsi="Arial" w:cs="Arial"/>
          <w:sz w:val="26"/>
          <w:szCs w:val="26"/>
        </w:rPr>
        <w:t>La presente Ley tiene por objeto</w:t>
      </w:r>
      <w:r w:rsidR="00634729">
        <w:rPr>
          <w:rFonts w:ascii="Arial" w:hAnsi="Arial" w:cs="Arial"/>
          <w:sz w:val="26"/>
          <w:szCs w:val="26"/>
        </w:rPr>
        <w:t xml:space="preserve"> modificar el artículo 48 de la Ley 1551 de 2012 y </w:t>
      </w:r>
      <w:r w:rsidRPr="003723CE">
        <w:rPr>
          <w:rFonts w:ascii="Arial" w:hAnsi="Arial" w:cs="Arial"/>
          <w:sz w:val="26"/>
          <w:szCs w:val="26"/>
        </w:rPr>
        <w:t xml:space="preserve">establecer el procedimiento para que los municipios acrediten la posesión de los bienes y su destinación al uso público o a la prestación de un servicio público, para </w:t>
      </w:r>
      <w:r w:rsidR="008D1737">
        <w:rPr>
          <w:rFonts w:ascii="Arial" w:hAnsi="Arial" w:cs="Arial"/>
          <w:sz w:val="26"/>
          <w:szCs w:val="26"/>
        </w:rPr>
        <w:t>lo dispuesto</w:t>
      </w:r>
      <w:r w:rsidRPr="003723CE">
        <w:rPr>
          <w:rFonts w:ascii="Arial" w:hAnsi="Arial" w:cs="Arial"/>
          <w:sz w:val="26"/>
          <w:szCs w:val="26"/>
        </w:rPr>
        <w:t xml:space="preserve"> en el inciso 7º del artículo 48 de la Ley 1551 de 2012 </w:t>
      </w:r>
      <w:r w:rsidR="000E16D5" w:rsidRPr="003723CE">
        <w:rPr>
          <w:rFonts w:ascii="Arial" w:hAnsi="Arial" w:cs="Arial"/>
          <w:sz w:val="26"/>
          <w:szCs w:val="26"/>
        </w:rPr>
        <w:t>y demás disposiciones que lo modifiquen o adicionen.</w:t>
      </w:r>
    </w:p>
    <w:p w:rsidR="00123195" w:rsidRPr="003723CE" w:rsidRDefault="00123195" w:rsidP="00F22884">
      <w:pPr>
        <w:jc w:val="both"/>
        <w:rPr>
          <w:rFonts w:ascii="Arial" w:hAnsi="Arial" w:cs="Arial"/>
          <w:sz w:val="26"/>
          <w:szCs w:val="26"/>
        </w:rPr>
      </w:pPr>
    </w:p>
    <w:p w:rsidR="00123195" w:rsidRPr="003723CE" w:rsidRDefault="00123195" w:rsidP="00F22884">
      <w:pPr>
        <w:jc w:val="both"/>
        <w:rPr>
          <w:rFonts w:ascii="Arial" w:hAnsi="Arial" w:cs="Arial"/>
          <w:b/>
          <w:sz w:val="26"/>
          <w:szCs w:val="26"/>
        </w:rPr>
      </w:pPr>
      <w:r w:rsidRPr="003723CE">
        <w:rPr>
          <w:rFonts w:ascii="Arial" w:hAnsi="Arial" w:cs="Arial"/>
          <w:b/>
          <w:sz w:val="26"/>
          <w:szCs w:val="26"/>
        </w:rPr>
        <w:t xml:space="preserve">Artículo 2º. </w:t>
      </w:r>
      <w:r w:rsidR="00A436ED" w:rsidRPr="003723CE">
        <w:rPr>
          <w:rFonts w:ascii="Arial" w:hAnsi="Arial" w:cs="Arial"/>
          <w:b/>
          <w:sz w:val="26"/>
          <w:szCs w:val="26"/>
        </w:rPr>
        <w:t>Modifíquese el inciso 7º del artículo 48 de la Ley 1551 de 2012, así:</w:t>
      </w:r>
    </w:p>
    <w:p w:rsidR="00A436ED" w:rsidRPr="003723CE" w:rsidRDefault="00A436ED" w:rsidP="00F22884">
      <w:pPr>
        <w:jc w:val="both"/>
        <w:rPr>
          <w:rFonts w:ascii="Arial" w:hAnsi="Arial" w:cs="Arial"/>
          <w:b/>
          <w:sz w:val="26"/>
          <w:szCs w:val="26"/>
        </w:rPr>
      </w:pPr>
    </w:p>
    <w:p w:rsidR="00A436ED" w:rsidRPr="003723CE" w:rsidRDefault="00A436ED" w:rsidP="00F22884">
      <w:pPr>
        <w:jc w:val="both"/>
        <w:rPr>
          <w:rFonts w:ascii="Arial" w:hAnsi="Arial" w:cs="Arial"/>
          <w:b/>
          <w:sz w:val="26"/>
          <w:szCs w:val="26"/>
        </w:rPr>
      </w:pPr>
      <w:r w:rsidRPr="003723CE">
        <w:rPr>
          <w:rFonts w:ascii="Arial" w:hAnsi="Arial" w:cs="Arial"/>
          <w:sz w:val="26"/>
          <w:szCs w:val="26"/>
          <w:shd w:val="clear" w:color="auto" w:fill="FFFFFF"/>
        </w:rPr>
        <w:t>“En los casos en l</w:t>
      </w:r>
      <w:r w:rsidR="00FB3505">
        <w:rPr>
          <w:rFonts w:ascii="Arial" w:hAnsi="Arial" w:cs="Arial"/>
          <w:sz w:val="26"/>
          <w:szCs w:val="26"/>
          <w:shd w:val="clear" w:color="auto" w:fill="FFFFFF"/>
        </w:rPr>
        <w:t xml:space="preserve">os que las entidades nacionales, </w:t>
      </w:r>
      <w:r w:rsidRPr="003723CE">
        <w:rPr>
          <w:rFonts w:ascii="Arial" w:hAnsi="Arial" w:cs="Arial"/>
          <w:b/>
          <w:sz w:val="26"/>
          <w:szCs w:val="26"/>
          <w:u w:val="single"/>
          <w:shd w:val="clear" w:color="auto" w:fill="FFFFFF"/>
        </w:rPr>
        <w:t>departamentales</w:t>
      </w:r>
      <w:r w:rsidR="00FB3505">
        <w:rPr>
          <w:rFonts w:ascii="Arial" w:hAnsi="Arial" w:cs="Arial"/>
          <w:b/>
          <w:sz w:val="26"/>
          <w:szCs w:val="26"/>
          <w:u w:val="single"/>
          <w:shd w:val="clear" w:color="auto" w:fill="FFFFFF"/>
        </w:rPr>
        <w:t xml:space="preserve"> o de cualquier orden</w:t>
      </w:r>
      <w:r w:rsidRPr="003723CE">
        <w:rPr>
          <w:rFonts w:ascii="Arial" w:hAnsi="Arial" w:cs="Arial"/>
          <w:b/>
          <w:sz w:val="26"/>
          <w:szCs w:val="26"/>
          <w:u w:val="single"/>
          <w:shd w:val="clear" w:color="auto" w:fill="FFFFFF"/>
        </w:rPr>
        <w:t xml:space="preserve"> </w:t>
      </w:r>
      <w:r w:rsidRPr="003723CE">
        <w:rPr>
          <w:rFonts w:ascii="Arial" w:hAnsi="Arial" w:cs="Arial"/>
          <w:sz w:val="26"/>
          <w:szCs w:val="26"/>
          <w:shd w:val="clear" w:color="auto" w:fill="FFFFFF"/>
        </w:rPr>
        <w:t>exigen como requisito para financiar o cofinanciar proyectos de inversión con los municipios, prueba de la propiedad de los bienes que van a ser objeto de intervención, bastará con que estas acrediten la posesión del bien y su destinación al uso público o a la prestación de un servicio público</w:t>
      </w:r>
      <w:r w:rsidR="00963571">
        <w:rPr>
          <w:rFonts w:ascii="Arial" w:hAnsi="Arial" w:cs="Arial"/>
          <w:sz w:val="26"/>
          <w:szCs w:val="26"/>
          <w:shd w:val="clear" w:color="auto" w:fill="FFFFFF"/>
        </w:rPr>
        <w:t xml:space="preserve"> </w:t>
      </w:r>
      <w:r w:rsidR="00963571">
        <w:rPr>
          <w:rFonts w:ascii="Arial" w:hAnsi="Arial" w:cs="Arial"/>
          <w:b/>
          <w:bCs/>
          <w:sz w:val="26"/>
          <w:szCs w:val="26"/>
          <w:u w:val="single"/>
          <w:shd w:val="clear" w:color="auto" w:fill="FFFFFF"/>
        </w:rPr>
        <w:t>por parte de la entidad territorial o de la comunidad a través de junta de acción comun</w:t>
      </w:r>
      <w:r w:rsidR="00963571">
        <w:rPr>
          <w:rFonts w:ascii="Arial" w:hAnsi="Arial" w:cs="Arial"/>
          <w:b/>
          <w:bCs/>
          <w:sz w:val="26"/>
          <w:szCs w:val="26"/>
          <w:u w:val="single"/>
          <w:shd w:val="clear" w:color="auto" w:fill="FFFFFF"/>
        </w:rPr>
        <w:t>al,</w:t>
      </w:r>
      <w:bookmarkStart w:id="0" w:name="_GoBack"/>
      <w:bookmarkEnd w:id="0"/>
      <w:r w:rsidR="00FA2631">
        <w:rPr>
          <w:rFonts w:ascii="Arial" w:hAnsi="Arial" w:cs="Arial"/>
          <w:sz w:val="26"/>
          <w:szCs w:val="26"/>
          <w:shd w:val="clear" w:color="auto" w:fill="FFFFFF"/>
        </w:rPr>
        <w:t xml:space="preserve"> </w:t>
      </w:r>
      <w:r w:rsidR="00FA2631" w:rsidRPr="00FA2631">
        <w:rPr>
          <w:rFonts w:ascii="Arial" w:hAnsi="Arial" w:cs="Arial"/>
          <w:b/>
          <w:sz w:val="26"/>
          <w:szCs w:val="26"/>
          <w:u w:val="single"/>
          <w:shd w:val="clear" w:color="auto" w:fill="FFFFFF"/>
        </w:rPr>
        <w:t>mientras no exista oposición de un tercero</w:t>
      </w:r>
      <w:r w:rsidRPr="003723CE">
        <w:rPr>
          <w:rFonts w:ascii="Arial" w:hAnsi="Arial" w:cs="Arial"/>
          <w:sz w:val="26"/>
          <w:szCs w:val="26"/>
          <w:shd w:val="clear" w:color="auto" w:fill="FFFFFF"/>
        </w:rPr>
        <w:t>.”</w:t>
      </w:r>
    </w:p>
    <w:p w:rsidR="00EB01C4" w:rsidRPr="003723CE" w:rsidRDefault="00EB01C4" w:rsidP="00F22884">
      <w:pPr>
        <w:jc w:val="both"/>
        <w:rPr>
          <w:rFonts w:ascii="Arial" w:hAnsi="Arial" w:cs="Arial"/>
          <w:sz w:val="26"/>
          <w:szCs w:val="26"/>
        </w:rPr>
      </w:pPr>
    </w:p>
    <w:p w:rsidR="00B2526B" w:rsidRPr="003723CE" w:rsidRDefault="00A436ED" w:rsidP="00F22884">
      <w:pPr>
        <w:jc w:val="both"/>
        <w:rPr>
          <w:rFonts w:ascii="Arial" w:hAnsi="Arial" w:cs="Arial"/>
          <w:sz w:val="26"/>
          <w:szCs w:val="26"/>
        </w:rPr>
      </w:pPr>
      <w:r w:rsidRPr="003723CE">
        <w:rPr>
          <w:rFonts w:ascii="Arial" w:hAnsi="Arial" w:cs="Arial"/>
          <w:b/>
          <w:sz w:val="26"/>
          <w:szCs w:val="26"/>
        </w:rPr>
        <w:t>Artículo 3</w:t>
      </w:r>
      <w:r w:rsidR="00EB01C4" w:rsidRPr="003723CE">
        <w:rPr>
          <w:rFonts w:ascii="Arial" w:hAnsi="Arial" w:cs="Arial"/>
          <w:b/>
          <w:sz w:val="26"/>
          <w:szCs w:val="26"/>
        </w:rPr>
        <w:t>º</w:t>
      </w:r>
      <w:r w:rsidR="00EB01C4" w:rsidRPr="003723CE">
        <w:rPr>
          <w:rFonts w:ascii="Arial" w:hAnsi="Arial" w:cs="Arial"/>
          <w:sz w:val="26"/>
          <w:szCs w:val="26"/>
        </w:rPr>
        <w:t xml:space="preserve">. </w:t>
      </w:r>
      <w:r w:rsidR="006C1AB9" w:rsidRPr="003723CE">
        <w:rPr>
          <w:rFonts w:ascii="Arial" w:hAnsi="Arial" w:cs="Arial"/>
          <w:sz w:val="26"/>
          <w:szCs w:val="26"/>
        </w:rPr>
        <w:t>Para l</w:t>
      </w:r>
      <w:r w:rsidR="00EB01C4" w:rsidRPr="003723CE">
        <w:rPr>
          <w:rFonts w:ascii="Arial" w:hAnsi="Arial" w:cs="Arial"/>
          <w:sz w:val="26"/>
          <w:szCs w:val="26"/>
        </w:rPr>
        <w:t xml:space="preserve">a acreditación de la posesión del bien </w:t>
      </w:r>
      <w:r w:rsidR="006C1AB9" w:rsidRPr="003723CE">
        <w:rPr>
          <w:rFonts w:ascii="Arial" w:hAnsi="Arial" w:cs="Arial"/>
          <w:sz w:val="26"/>
          <w:szCs w:val="26"/>
        </w:rPr>
        <w:t xml:space="preserve">y su destinación al uso público o a la prestación de un servicio público </w:t>
      </w:r>
      <w:r w:rsidR="00903003" w:rsidRPr="003723CE">
        <w:rPr>
          <w:rFonts w:ascii="Arial" w:hAnsi="Arial" w:cs="Arial"/>
          <w:sz w:val="26"/>
          <w:szCs w:val="26"/>
        </w:rPr>
        <w:t>en los casos en l</w:t>
      </w:r>
      <w:r w:rsidR="00FB3505">
        <w:rPr>
          <w:rFonts w:ascii="Arial" w:hAnsi="Arial" w:cs="Arial"/>
          <w:sz w:val="26"/>
          <w:szCs w:val="26"/>
        </w:rPr>
        <w:t xml:space="preserve">os que las entidades nacionales, </w:t>
      </w:r>
      <w:r w:rsidRPr="003723CE">
        <w:rPr>
          <w:rFonts w:ascii="Arial" w:hAnsi="Arial" w:cs="Arial"/>
          <w:sz w:val="26"/>
          <w:szCs w:val="26"/>
        </w:rPr>
        <w:t>departamentales</w:t>
      </w:r>
      <w:r w:rsidR="00FB3505">
        <w:rPr>
          <w:rFonts w:ascii="Arial" w:hAnsi="Arial" w:cs="Arial"/>
          <w:sz w:val="26"/>
          <w:szCs w:val="26"/>
        </w:rPr>
        <w:t xml:space="preserve"> o de cualquier orden</w:t>
      </w:r>
      <w:r w:rsidRPr="003723CE">
        <w:rPr>
          <w:rFonts w:ascii="Arial" w:hAnsi="Arial" w:cs="Arial"/>
          <w:sz w:val="26"/>
          <w:szCs w:val="26"/>
        </w:rPr>
        <w:t xml:space="preserve"> </w:t>
      </w:r>
      <w:r w:rsidR="00903003" w:rsidRPr="003723CE">
        <w:rPr>
          <w:rFonts w:ascii="Arial" w:hAnsi="Arial" w:cs="Arial"/>
          <w:sz w:val="26"/>
          <w:szCs w:val="26"/>
        </w:rPr>
        <w:t xml:space="preserve">la exigen como requisito para financiar o cofinanciar proyectos de inversión con los municipios, el </w:t>
      </w:r>
      <w:r w:rsidR="00F22884" w:rsidRPr="003723CE">
        <w:rPr>
          <w:rFonts w:ascii="Arial" w:hAnsi="Arial" w:cs="Arial"/>
          <w:sz w:val="26"/>
          <w:szCs w:val="26"/>
        </w:rPr>
        <w:t>Alcalde Municipal</w:t>
      </w:r>
      <w:r w:rsidR="00053886">
        <w:rPr>
          <w:rFonts w:ascii="Arial" w:hAnsi="Arial" w:cs="Arial"/>
          <w:sz w:val="26"/>
          <w:szCs w:val="26"/>
        </w:rPr>
        <w:t xml:space="preserve"> o el Personero Municipal</w:t>
      </w:r>
      <w:r w:rsidR="00010B29" w:rsidRPr="003723CE">
        <w:rPr>
          <w:rFonts w:ascii="Arial" w:hAnsi="Arial" w:cs="Arial"/>
          <w:sz w:val="26"/>
          <w:szCs w:val="26"/>
        </w:rPr>
        <w:t xml:space="preserve"> podrá expedir acto administrativo debidamente motivado, en el cual manifieste que</w:t>
      </w:r>
      <w:r w:rsidR="00F22884" w:rsidRPr="003723CE">
        <w:rPr>
          <w:rFonts w:ascii="Arial" w:hAnsi="Arial" w:cs="Arial"/>
          <w:sz w:val="26"/>
          <w:szCs w:val="26"/>
        </w:rPr>
        <w:t xml:space="preserve"> el municipio</w:t>
      </w:r>
      <w:r w:rsidR="00010B29" w:rsidRPr="003723CE">
        <w:rPr>
          <w:rFonts w:ascii="Arial" w:hAnsi="Arial" w:cs="Arial"/>
          <w:sz w:val="26"/>
          <w:szCs w:val="26"/>
        </w:rPr>
        <w:t xml:space="preserve"> </w:t>
      </w:r>
      <w:r w:rsidR="00B2526B" w:rsidRPr="003723CE">
        <w:rPr>
          <w:rFonts w:ascii="Arial" w:hAnsi="Arial" w:cs="Arial"/>
          <w:sz w:val="26"/>
          <w:szCs w:val="26"/>
        </w:rPr>
        <w:lastRenderedPageBreak/>
        <w:t xml:space="preserve">ha ejercido y </w:t>
      </w:r>
      <w:r w:rsidR="00010B29" w:rsidRPr="003723CE">
        <w:rPr>
          <w:rFonts w:ascii="Arial" w:hAnsi="Arial" w:cs="Arial"/>
          <w:sz w:val="26"/>
          <w:szCs w:val="26"/>
        </w:rPr>
        <w:t>ejerce la posesión del bien frente a</w:t>
      </w:r>
      <w:r w:rsidR="00F96371">
        <w:rPr>
          <w:rFonts w:ascii="Arial" w:hAnsi="Arial" w:cs="Arial"/>
          <w:sz w:val="26"/>
          <w:szCs w:val="26"/>
        </w:rPr>
        <w:t>l cual se pretende la inversión</w:t>
      </w:r>
      <w:r w:rsidR="00010B29" w:rsidRPr="003723CE">
        <w:rPr>
          <w:rFonts w:ascii="Arial" w:hAnsi="Arial" w:cs="Arial"/>
          <w:sz w:val="26"/>
          <w:szCs w:val="26"/>
        </w:rPr>
        <w:t>. El acto admin</w:t>
      </w:r>
      <w:r w:rsidR="003A3A97">
        <w:rPr>
          <w:rFonts w:ascii="Arial" w:hAnsi="Arial" w:cs="Arial"/>
          <w:sz w:val="26"/>
          <w:szCs w:val="26"/>
        </w:rPr>
        <w:t>istrativo de acreditación</w:t>
      </w:r>
      <w:r w:rsidR="000E16D5" w:rsidRPr="003723CE">
        <w:rPr>
          <w:rFonts w:ascii="Arial" w:hAnsi="Arial" w:cs="Arial"/>
          <w:sz w:val="26"/>
          <w:szCs w:val="26"/>
        </w:rPr>
        <w:t xml:space="preserve"> deberá hacer constar:</w:t>
      </w:r>
      <w:r w:rsidR="00B2526B" w:rsidRPr="003723CE">
        <w:rPr>
          <w:rFonts w:ascii="Arial" w:hAnsi="Arial" w:cs="Arial"/>
          <w:sz w:val="26"/>
          <w:szCs w:val="26"/>
        </w:rPr>
        <w:t xml:space="preserve"> </w:t>
      </w:r>
    </w:p>
    <w:p w:rsidR="00B2526B" w:rsidRPr="003723CE" w:rsidRDefault="00B2526B" w:rsidP="00F22884">
      <w:pPr>
        <w:jc w:val="both"/>
        <w:rPr>
          <w:rFonts w:ascii="Arial" w:hAnsi="Arial" w:cs="Arial"/>
          <w:sz w:val="26"/>
          <w:szCs w:val="26"/>
        </w:rPr>
      </w:pPr>
    </w:p>
    <w:p w:rsidR="00AB68A6" w:rsidRPr="003723CE" w:rsidRDefault="00AB68A6" w:rsidP="00AB68A6">
      <w:pPr>
        <w:jc w:val="both"/>
        <w:rPr>
          <w:rFonts w:ascii="Arial" w:hAnsi="Arial" w:cs="Arial"/>
          <w:sz w:val="26"/>
          <w:szCs w:val="26"/>
        </w:rPr>
      </w:pPr>
      <w:r w:rsidRPr="003723CE">
        <w:rPr>
          <w:rFonts w:ascii="Arial" w:hAnsi="Arial" w:cs="Arial"/>
          <w:sz w:val="26"/>
          <w:szCs w:val="26"/>
        </w:rPr>
        <w:t xml:space="preserve">a. Que se cumplen los hechos positivos a los que alude el artículo 981 del Código Civil, tales como obras de explotación del bien, construcción de edificios, cerramientos o actos materiales de la misma naturaleza o de igual significación. </w:t>
      </w:r>
    </w:p>
    <w:p w:rsidR="00AB68A6" w:rsidRPr="003723CE" w:rsidRDefault="00AB68A6" w:rsidP="00F22884">
      <w:pPr>
        <w:jc w:val="both"/>
        <w:rPr>
          <w:rFonts w:ascii="Arial" w:hAnsi="Arial" w:cs="Arial"/>
          <w:sz w:val="26"/>
          <w:szCs w:val="26"/>
        </w:rPr>
      </w:pPr>
    </w:p>
    <w:p w:rsidR="000E16D5" w:rsidRPr="003723CE" w:rsidRDefault="00AB68A6" w:rsidP="00F22884">
      <w:pPr>
        <w:jc w:val="both"/>
        <w:rPr>
          <w:rFonts w:ascii="Arial" w:hAnsi="Arial" w:cs="Arial"/>
          <w:sz w:val="26"/>
          <w:szCs w:val="26"/>
        </w:rPr>
      </w:pPr>
      <w:r w:rsidRPr="003723CE">
        <w:rPr>
          <w:rFonts w:ascii="Arial" w:hAnsi="Arial" w:cs="Arial"/>
          <w:sz w:val="26"/>
          <w:szCs w:val="26"/>
        </w:rPr>
        <w:t>b</w:t>
      </w:r>
      <w:r w:rsidR="000E16D5" w:rsidRPr="003723CE">
        <w:rPr>
          <w:rFonts w:ascii="Arial" w:hAnsi="Arial" w:cs="Arial"/>
          <w:sz w:val="26"/>
          <w:szCs w:val="26"/>
        </w:rPr>
        <w:t xml:space="preserve">. </w:t>
      </w:r>
      <w:r w:rsidR="00121A1D" w:rsidRPr="003723CE">
        <w:rPr>
          <w:rFonts w:ascii="Arial" w:hAnsi="Arial" w:cs="Arial"/>
          <w:sz w:val="26"/>
          <w:szCs w:val="26"/>
        </w:rPr>
        <w:t>E</w:t>
      </w:r>
      <w:r w:rsidR="000E16D5" w:rsidRPr="003723CE">
        <w:rPr>
          <w:rFonts w:ascii="Arial" w:hAnsi="Arial" w:cs="Arial"/>
          <w:sz w:val="26"/>
          <w:szCs w:val="26"/>
        </w:rPr>
        <w:t xml:space="preserve">l uso o usos específicos que se le dan al bien, los cuales deberán </w:t>
      </w:r>
      <w:r w:rsidR="00130606" w:rsidRPr="003723CE">
        <w:rPr>
          <w:rFonts w:ascii="Arial" w:hAnsi="Arial" w:cs="Arial"/>
          <w:sz w:val="26"/>
          <w:szCs w:val="26"/>
        </w:rPr>
        <w:t xml:space="preserve">corresponder </w:t>
      </w:r>
      <w:r w:rsidR="000E16D5" w:rsidRPr="003723CE">
        <w:rPr>
          <w:rFonts w:ascii="Arial" w:hAnsi="Arial" w:cs="Arial"/>
          <w:sz w:val="26"/>
          <w:szCs w:val="26"/>
        </w:rPr>
        <w:t xml:space="preserve">a finalidades de interés general, </w:t>
      </w:r>
      <w:r w:rsidR="00130606" w:rsidRPr="003723CE">
        <w:rPr>
          <w:rFonts w:ascii="Arial" w:hAnsi="Arial" w:cs="Arial"/>
          <w:sz w:val="26"/>
          <w:szCs w:val="26"/>
        </w:rPr>
        <w:t>ya sea que dicho uso o usos</w:t>
      </w:r>
      <w:r w:rsidR="000E16D5" w:rsidRPr="003723CE">
        <w:rPr>
          <w:rFonts w:ascii="Arial" w:hAnsi="Arial" w:cs="Arial"/>
          <w:sz w:val="26"/>
          <w:szCs w:val="26"/>
        </w:rPr>
        <w:t xml:space="preserve"> se haya</w:t>
      </w:r>
      <w:r w:rsidR="00130606" w:rsidRPr="003723CE">
        <w:rPr>
          <w:rFonts w:ascii="Arial" w:hAnsi="Arial" w:cs="Arial"/>
          <w:sz w:val="26"/>
          <w:szCs w:val="26"/>
        </w:rPr>
        <w:t>n</w:t>
      </w:r>
      <w:r w:rsidR="000E16D5" w:rsidRPr="003723CE">
        <w:rPr>
          <w:rFonts w:ascii="Arial" w:hAnsi="Arial" w:cs="Arial"/>
          <w:sz w:val="26"/>
          <w:szCs w:val="26"/>
        </w:rPr>
        <w:t xml:space="preserve"> concretado o que se encuentre</w:t>
      </w:r>
      <w:r w:rsidR="00130606" w:rsidRPr="003723CE">
        <w:rPr>
          <w:rFonts w:ascii="Arial" w:hAnsi="Arial" w:cs="Arial"/>
          <w:sz w:val="26"/>
          <w:szCs w:val="26"/>
        </w:rPr>
        <w:t>n</w:t>
      </w:r>
      <w:r w:rsidR="000E16D5" w:rsidRPr="003723CE">
        <w:rPr>
          <w:rFonts w:ascii="Arial" w:hAnsi="Arial" w:cs="Arial"/>
          <w:sz w:val="26"/>
          <w:szCs w:val="26"/>
        </w:rPr>
        <w:t xml:space="preserve"> en proceso de concreción.</w:t>
      </w:r>
    </w:p>
    <w:p w:rsidR="00121A1D" w:rsidRPr="003723CE" w:rsidRDefault="00121A1D" w:rsidP="00F22884">
      <w:pPr>
        <w:jc w:val="both"/>
        <w:rPr>
          <w:rFonts w:ascii="Arial" w:hAnsi="Arial" w:cs="Arial"/>
          <w:sz w:val="26"/>
          <w:szCs w:val="26"/>
        </w:rPr>
      </w:pPr>
    </w:p>
    <w:p w:rsidR="00121A1D" w:rsidRPr="003723CE" w:rsidRDefault="00121A1D" w:rsidP="00F22884">
      <w:pPr>
        <w:jc w:val="both"/>
        <w:rPr>
          <w:rFonts w:ascii="Arial" w:hAnsi="Arial" w:cs="Arial"/>
          <w:sz w:val="26"/>
          <w:szCs w:val="26"/>
        </w:rPr>
      </w:pPr>
      <w:r w:rsidRPr="003723CE">
        <w:rPr>
          <w:rFonts w:ascii="Arial" w:hAnsi="Arial" w:cs="Arial"/>
          <w:sz w:val="26"/>
          <w:szCs w:val="26"/>
        </w:rPr>
        <w:t xml:space="preserve">c. Que otra persona no justifica ser el reputado dueño del bien. </w:t>
      </w:r>
    </w:p>
    <w:p w:rsidR="000E16D5" w:rsidRPr="003723CE" w:rsidRDefault="000E16D5" w:rsidP="00F22884">
      <w:pPr>
        <w:jc w:val="both"/>
        <w:rPr>
          <w:rFonts w:ascii="Arial" w:hAnsi="Arial" w:cs="Arial"/>
          <w:sz w:val="26"/>
          <w:szCs w:val="26"/>
        </w:rPr>
      </w:pPr>
    </w:p>
    <w:p w:rsidR="000E16D5" w:rsidRPr="003723CE" w:rsidRDefault="000E16D5" w:rsidP="00F22884">
      <w:pPr>
        <w:jc w:val="both"/>
        <w:rPr>
          <w:rFonts w:ascii="Arial" w:hAnsi="Arial" w:cs="Arial"/>
          <w:sz w:val="26"/>
          <w:szCs w:val="26"/>
        </w:rPr>
      </w:pPr>
      <w:r w:rsidRPr="003723CE">
        <w:rPr>
          <w:rFonts w:ascii="Arial" w:hAnsi="Arial" w:cs="Arial"/>
          <w:b/>
          <w:sz w:val="26"/>
          <w:szCs w:val="26"/>
        </w:rPr>
        <w:t>Parágrafo</w:t>
      </w:r>
      <w:r w:rsidR="00AA2196">
        <w:rPr>
          <w:rFonts w:ascii="Arial" w:hAnsi="Arial" w:cs="Arial"/>
          <w:b/>
          <w:sz w:val="26"/>
          <w:szCs w:val="26"/>
        </w:rPr>
        <w:t>.</w:t>
      </w:r>
      <w:r w:rsidRPr="003723CE">
        <w:rPr>
          <w:rFonts w:ascii="Arial" w:hAnsi="Arial" w:cs="Arial"/>
          <w:b/>
          <w:sz w:val="26"/>
          <w:szCs w:val="26"/>
        </w:rPr>
        <w:t xml:space="preserve"> </w:t>
      </w:r>
      <w:r w:rsidRPr="003723CE">
        <w:rPr>
          <w:rFonts w:ascii="Arial" w:hAnsi="Arial" w:cs="Arial"/>
          <w:sz w:val="26"/>
          <w:szCs w:val="26"/>
        </w:rPr>
        <w:t xml:space="preserve">La acreditación a la que se refiere la presente Ley </w:t>
      </w:r>
      <w:r w:rsidR="00506DCB" w:rsidRPr="003723CE">
        <w:rPr>
          <w:rFonts w:ascii="Arial" w:hAnsi="Arial" w:cs="Arial"/>
          <w:sz w:val="26"/>
          <w:szCs w:val="26"/>
        </w:rPr>
        <w:t>constituye presunción de propiedad para</w:t>
      </w:r>
      <w:r w:rsidRPr="003723CE">
        <w:rPr>
          <w:rFonts w:ascii="Arial" w:hAnsi="Arial" w:cs="Arial"/>
          <w:sz w:val="26"/>
          <w:szCs w:val="26"/>
        </w:rPr>
        <w:t xml:space="preserve"> </w:t>
      </w:r>
      <w:r w:rsidR="00506DCB" w:rsidRPr="003723CE">
        <w:rPr>
          <w:rFonts w:ascii="Arial" w:hAnsi="Arial" w:cs="Arial"/>
          <w:sz w:val="26"/>
          <w:szCs w:val="26"/>
        </w:rPr>
        <w:t>efectos de aplicar</w:t>
      </w:r>
      <w:r w:rsidRPr="003723CE">
        <w:rPr>
          <w:rFonts w:ascii="Arial" w:hAnsi="Arial" w:cs="Arial"/>
          <w:sz w:val="26"/>
          <w:szCs w:val="26"/>
        </w:rPr>
        <w:t xml:space="preserve"> el inciso 7º del artículo 48 de la Ley 1551 de 2012 y demás disposicione</w:t>
      </w:r>
      <w:r w:rsidR="00506DCB" w:rsidRPr="003723CE">
        <w:rPr>
          <w:rFonts w:ascii="Arial" w:hAnsi="Arial" w:cs="Arial"/>
          <w:sz w:val="26"/>
          <w:szCs w:val="26"/>
        </w:rPr>
        <w:t xml:space="preserve">s que lo modifiquen o adicionen, y en ningún caso constituirá título de propiedad. </w:t>
      </w:r>
    </w:p>
    <w:p w:rsidR="002F4C44" w:rsidRPr="003723CE" w:rsidRDefault="002F4C44" w:rsidP="00B2526B">
      <w:pPr>
        <w:jc w:val="both"/>
        <w:rPr>
          <w:rFonts w:ascii="Arial" w:hAnsi="Arial" w:cs="Arial"/>
          <w:sz w:val="26"/>
          <w:szCs w:val="26"/>
        </w:rPr>
      </w:pPr>
    </w:p>
    <w:p w:rsidR="002F4C44" w:rsidRPr="003723CE" w:rsidRDefault="002F4C44" w:rsidP="00B2526B">
      <w:pPr>
        <w:jc w:val="both"/>
        <w:rPr>
          <w:rFonts w:ascii="Arial" w:hAnsi="Arial" w:cs="Arial"/>
          <w:sz w:val="26"/>
          <w:szCs w:val="26"/>
        </w:rPr>
      </w:pPr>
      <w:r w:rsidRPr="003723CE">
        <w:rPr>
          <w:rFonts w:ascii="Arial" w:hAnsi="Arial" w:cs="Arial"/>
          <w:b/>
          <w:sz w:val="26"/>
          <w:szCs w:val="26"/>
        </w:rPr>
        <w:t xml:space="preserve">Artículo </w:t>
      </w:r>
      <w:r w:rsidR="001178F6">
        <w:rPr>
          <w:rFonts w:ascii="Arial" w:hAnsi="Arial" w:cs="Arial"/>
          <w:b/>
          <w:sz w:val="26"/>
          <w:szCs w:val="26"/>
        </w:rPr>
        <w:t>4</w:t>
      </w:r>
      <w:r w:rsidRPr="003723CE">
        <w:rPr>
          <w:rFonts w:ascii="Arial" w:hAnsi="Arial" w:cs="Arial"/>
          <w:b/>
          <w:sz w:val="26"/>
          <w:szCs w:val="26"/>
        </w:rPr>
        <w:t xml:space="preserve">º. </w:t>
      </w:r>
      <w:r w:rsidRPr="003723CE">
        <w:rPr>
          <w:rFonts w:ascii="Arial" w:hAnsi="Arial" w:cs="Arial"/>
          <w:sz w:val="26"/>
          <w:szCs w:val="26"/>
        </w:rPr>
        <w:t>Esta ley rige a partir de su publicación y deroga las disposiciones que le sean contrarias.</w:t>
      </w:r>
    </w:p>
    <w:p w:rsidR="002F4C44" w:rsidRPr="003723CE" w:rsidRDefault="002F4C44" w:rsidP="00B2526B">
      <w:pPr>
        <w:jc w:val="both"/>
        <w:rPr>
          <w:rFonts w:ascii="Arial" w:hAnsi="Arial" w:cs="Arial"/>
          <w:sz w:val="26"/>
          <w:szCs w:val="26"/>
        </w:rPr>
      </w:pPr>
    </w:p>
    <w:p w:rsidR="00A436ED" w:rsidRPr="003723CE" w:rsidRDefault="00A436ED" w:rsidP="00B2526B">
      <w:pPr>
        <w:jc w:val="both"/>
        <w:rPr>
          <w:rFonts w:ascii="Arial" w:hAnsi="Arial" w:cs="Arial"/>
          <w:sz w:val="26"/>
          <w:szCs w:val="26"/>
        </w:rPr>
      </w:pPr>
    </w:p>
    <w:p w:rsidR="00A436ED" w:rsidRPr="003723CE" w:rsidRDefault="00A436ED" w:rsidP="00B2526B">
      <w:pPr>
        <w:jc w:val="both"/>
        <w:rPr>
          <w:rFonts w:ascii="Arial" w:hAnsi="Arial" w:cs="Arial"/>
          <w:sz w:val="26"/>
          <w:szCs w:val="26"/>
        </w:rPr>
      </w:pPr>
    </w:p>
    <w:p w:rsidR="00A436ED" w:rsidRPr="003723CE" w:rsidRDefault="00A436ED" w:rsidP="00B2526B">
      <w:pPr>
        <w:jc w:val="both"/>
        <w:rPr>
          <w:rFonts w:ascii="Arial" w:hAnsi="Arial" w:cs="Arial"/>
          <w:sz w:val="26"/>
          <w:szCs w:val="26"/>
        </w:rPr>
      </w:pPr>
    </w:p>
    <w:p w:rsidR="00A436ED" w:rsidRPr="003723CE" w:rsidRDefault="00A436ED" w:rsidP="00B2526B">
      <w:pPr>
        <w:jc w:val="both"/>
        <w:rPr>
          <w:rFonts w:ascii="Arial" w:hAnsi="Arial" w:cs="Arial"/>
          <w:sz w:val="26"/>
          <w:szCs w:val="26"/>
        </w:rPr>
      </w:pPr>
    </w:p>
    <w:p w:rsidR="002F4C44" w:rsidRPr="003723CE" w:rsidRDefault="002F4C44" w:rsidP="00B2526B">
      <w:pPr>
        <w:jc w:val="both"/>
        <w:rPr>
          <w:rFonts w:ascii="Arial" w:hAnsi="Arial" w:cs="Arial"/>
          <w:sz w:val="26"/>
          <w:szCs w:val="26"/>
        </w:rPr>
      </w:pPr>
    </w:p>
    <w:p w:rsidR="002F4C44" w:rsidRPr="003723CE" w:rsidRDefault="002F4C44" w:rsidP="002F4C44">
      <w:pPr>
        <w:jc w:val="center"/>
        <w:rPr>
          <w:rFonts w:ascii="Arial" w:hAnsi="Arial" w:cs="Arial"/>
          <w:b/>
          <w:sz w:val="26"/>
          <w:szCs w:val="26"/>
        </w:rPr>
      </w:pPr>
      <w:r w:rsidRPr="003723CE">
        <w:rPr>
          <w:rFonts w:ascii="Arial" w:hAnsi="Arial" w:cs="Arial"/>
          <w:b/>
          <w:sz w:val="26"/>
          <w:szCs w:val="26"/>
        </w:rPr>
        <w:t>LUIS FERNANDO VELASCO CHAVES</w:t>
      </w:r>
    </w:p>
    <w:p w:rsidR="002F4C44" w:rsidRDefault="002F4C44" w:rsidP="002F4C44">
      <w:pPr>
        <w:jc w:val="center"/>
        <w:rPr>
          <w:rFonts w:ascii="Arial" w:hAnsi="Arial" w:cs="Arial"/>
          <w:sz w:val="26"/>
          <w:szCs w:val="26"/>
        </w:rPr>
      </w:pPr>
      <w:r w:rsidRPr="003723CE">
        <w:rPr>
          <w:rFonts w:ascii="Arial" w:hAnsi="Arial" w:cs="Arial"/>
          <w:sz w:val="26"/>
          <w:szCs w:val="26"/>
        </w:rPr>
        <w:t>Senador de la República</w:t>
      </w:r>
    </w:p>
    <w:p w:rsidR="005950CF" w:rsidRDefault="005950CF" w:rsidP="002F4C44">
      <w:pPr>
        <w:jc w:val="center"/>
        <w:rPr>
          <w:rFonts w:ascii="Arial" w:hAnsi="Arial" w:cs="Arial"/>
          <w:sz w:val="26"/>
          <w:szCs w:val="26"/>
        </w:rPr>
      </w:pPr>
    </w:p>
    <w:p w:rsidR="005950CF" w:rsidRDefault="005950CF" w:rsidP="002F4C44">
      <w:pPr>
        <w:jc w:val="center"/>
        <w:rPr>
          <w:rFonts w:ascii="Arial" w:hAnsi="Arial" w:cs="Arial"/>
          <w:sz w:val="26"/>
          <w:szCs w:val="26"/>
        </w:rPr>
      </w:pPr>
    </w:p>
    <w:p w:rsidR="005950CF" w:rsidRDefault="005950CF" w:rsidP="002F4C44">
      <w:pPr>
        <w:jc w:val="center"/>
        <w:rPr>
          <w:rFonts w:ascii="Arial" w:hAnsi="Arial" w:cs="Arial"/>
          <w:sz w:val="26"/>
          <w:szCs w:val="26"/>
        </w:rPr>
      </w:pPr>
    </w:p>
    <w:p w:rsidR="005950CF" w:rsidRDefault="005950CF" w:rsidP="002F4C44">
      <w:pPr>
        <w:jc w:val="center"/>
        <w:rPr>
          <w:rFonts w:ascii="Arial" w:hAnsi="Arial" w:cs="Arial"/>
          <w:sz w:val="26"/>
          <w:szCs w:val="26"/>
        </w:rPr>
      </w:pPr>
    </w:p>
    <w:p w:rsidR="005950CF" w:rsidRDefault="005950CF" w:rsidP="002F4C44">
      <w:pPr>
        <w:jc w:val="center"/>
        <w:rPr>
          <w:rFonts w:ascii="Arial" w:hAnsi="Arial" w:cs="Arial"/>
          <w:sz w:val="26"/>
          <w:szCs w:val="26"/>
        </w:rPr>
      </w:pPr>
    </w:p>
    <w:p w:rsidR="00522F7D" w:rsidRDefault="00522F7D" w:rsidP="00522F7D">
      <w:pPr>
        <w:spacing w:line="276" w:lineRule="auto"/>
        <w:jc w:val="center"/>
        <w:rPr>
          <w:rFonts w:ascii="Arial" w:hAnsi="Arial" w:cs="Arial"/>
          <w:b/>
          <w:sz w:val="26"/>
          <w:szCs w:val="26"/>
        </w:rPr>
      </w:pPr>
    </w:p>
    <w:p w:rsidR="001178F6" w:rsidRDefault="001178F6" w:rsidP="00522F7D">
      <w:pPr>
        <w:spacing w:line="276" w:lineRule="auto"/>
        <w:jc w:val="center"/>
        <w:rPr>
          <w:rFonts w:ascii="Arial" w:hAnsi="Arial" w:cs="Arial"/>
          <w:b/>
          <w:sz w:val="26"/>
          <w:szCs w:val="26"/>
        </w:rPr>
      </w:pPr>
    </w:p>
    <w:p w:rsidR="001178F6" w:rsidRDefault="001178F6" w:rsidP="00522F7D">
      <w:pPr>
        <w:spacing w:line="276" w:lineRule="auto"/>
        <w:jc w:val="center"/>
        <w:rPr>
          <w:rFonts w:ascii="Arial" w:hAnsi="Arial" w:cs="Arial"/>
          <w:b/>
          <w:sz w:val="26"/>
          <w:szCs w:val="26"/>
        </w:rPr>
      </w:pPr>
    </w:p>
    <w:p w:rsidR="001178F6" w:rsidRDefault="001178F6" w:rsidP="00522F7D">
      <w:pPr>
        <w:spacing w:line="276" w:lineRule="auto"/>
        <w:jc w:val="center"/>
        <w:rPr>
          <w:rFonts w:ascii="Arial" w:hAnsi="Arial" w:cs="Arial"/>
          <w:b/>
          <w:sz w:val="26"/>
          <w:szCs w:val="26"/>
        </w:rPr>
      </w:pPr>
    </w:p>
    <w:p w:rsidR="001178F6" w:rsidRDefault="001178F6" w:rsidP="00522F7D">
      <w:pPr>
        <w:spacing w:line="276" w:lineRule="auto"/>
        <w:jc w:val="center"/>
        <w:rPr>
          <w:rFonts w:ascii="Arial" w:hAnsi="Arial" w:cs="Arial"/>
          <w:b/>
          <w:sz w:val="26"/>
          <w:szCs w:val="26"/>
        </w:rPr>
      </w:pPr>
    </w:p>
    <w:p w:rsidR="005950CF" w:rsidRDefault="005950CF" w:rsidP="00522F7D">
      <w:pPr>
        <w:spacing w:line="276" w:lineRule="auto"/>
        <w:jc w:val="center"/>
        <w:rPr>
          <w:rFonts w:ascii="Arial" w:hAnsi="Arial" w:cs="Arial"/>
          <w:b/>
          <w:sz w:val="26"/>
          <w:szCs w:val="26"/>
        </w:rPr>
      </w:pPr>
      <w:r w:rsidRPr="005950CF">
        <w:rPr>
          <w:rFonts w:ascii="Arial" w:hAnsi="Arial" w:cs="Arial"/>
          <w:b/>
          <w:sz w:val="26"/>
          <w:szCs w:val="26"/>
        </w:rPr>
        <w:t>EXPOSICIÓN DE MOTIVOS</w:t>
      </w:r>
    </w:p>
    <w:p w:rsidR="005950CF" w:rsidRDefault="005950CF" w:rsidP="00522F7D">
      <w:pPr>
        <w:spacing w:line="276" w:lineRule="auto"/>
        <w:rPr>
          <w:rFonts w:ascii="Arial" w:hAnsi="Arial" w:cs="Arial"/>
          <w:b/>
          <w:sz w:val="26"/>
          <w:szCs w:val="26"/>
        </w:rPr>
      </w:pPr>
    </w:p>
    <w:p w:rsidR="00C53B8F" w:rsidRDefault="00C53B8F" w:rsidP="00522F7D">
      <w:pPr>
        <w:spacing w:line="276" w:lineRule="auto"/>
        <w:rPr>
          <w:rFonts w:ascii="Arial" w:hAnsi="Arial" w:cs="Arial"/>
          <w:b/>
          <w:sz w:val="26"/>
          <w:szCs w:val="26"/>
        </w:rPr>
      </w:pPr>
    </w:p>
    <w:p w:rsidR="005A6E68" w:rsidRDefault="00ED221C" w:rsidP="00522F7D">
      <w:pPr>
        <w:spacing w:line="276" w:lineRule="auto"/>
        <w:jc w:val="both"/>
        <w:rPr>
          <w:rFonts w:ascii="Arial" w:hAnsi="Arial" w:cs="Arial"/>
          <w:b/>
          <w:sz w:val="26"/>
          <w:szCs w:val="26"/>
        </w:rPr>
      </w:pPr>
      <w:r>
        <w:rPr>
          <w:rFonts w:ascii="Arial" w:hAnsi="Arial" w:cs="Arial"/>
          <w:b/>
          <w:sz w:val="26"/>
          <w:szCs w:val="26"/>
        </w:rPr>
        <w:t>1</w:t>
      </w:r>
      <w:r w:rsidR="004A32FB" w:rsidRPr="004A32FB">
        <w:rPr>
          <w:rFonts w:ascii="Arial" w:hAnsi="Arial" w:cs="Arial"/>
          <w:b/>
          <w:sz w:val="26"/>
          <w:szCs w:val="26"/>
        </w:rPr>
        <w:t>. Objetivo del proyecto de ley</w:t>
      </w:r>
    </w:p>
    <w:p w:rsidR="005A6E68" w:rsidRDefault="005A6E68" w:rsidP="00522F7D">
      <w:pPr>
        <w:spacing w:line="276" w:lineRule="auto"/>
        <w:jc w:val="both"/>
        <w:rPr>
          <w:rFonts w:ascii="Arial" w:hAnsi="Arial" w:cs="Arial"/>
          <w:b/>
          <w:sz w:val="26"/>
          <w:szCs w:val="26"/>
        </w:rPr>
      </w:pPr>
    </w:p>
    <w:p w:rsidR="00946BD8" w:rsidRPr="00C53B8F" w:rsidRDefault="00946BD8" w:rsidP="00522F7D">
      <w:pPr>
        <w:spacing w:line="276" w:lineRule="auto"/>
        <w:jc w:val="both"/>
        <w:rPr>
          <w:rFonts w:ascii="Arial" w:hAnsi="Arial" w:cs="Arial"/>
          <w:sz w:val="26"/>
          <w:szCs w:val="26"/>
          <w:lang w:val="es-ES"/>
        </w:rPr>
      </w:pPr>
      <w:r>
        <w:rPr>
          <w:rFonts w:ascii="Arial" w:hAnsi="Arial" w:cs="Arial"/>
          <w:sz w:val="26"/>
          <w:szCs w:val="26"/>
        </w:rPr>
        <w:t xml:space="preserve">El objeto de la presente iniciativa es establecer un procedimiento para que los municipios acrediten la posesión y el uso público de los bienes </w:t>
      </w:r>
      <w:r w:rsidRPr="003723CE">
        <w:rPr>
          <w:rFonts w:ascii="Arial" w:hAnsi="Arial" w:cs="Arial"/>
          <w:sz w:val="26"/>
          <w:szCs w:val="26"/>
        </w:rPr>
        <w:t>en los casos en l</w:t>
      </w:r>
      <w:r>
        <w:rPr>
          <w:rFonts w:ascii="Arial" w:hAnsi="Arial" w:cs="Arial"/>
          <w:sz w:val="26"/>
          <w:szCs w:val="26"/>
        </w:rPr>
        <w:t xml:space="preserve">os que las entidades nacionales, </w:t>
      </w:r>
      <w:r w:rsidRPr="003723CE">
        <w:rPr>
          <w:rFonts w:ascii="Arial" w:hAnsi="Arial" w:cs="Arial"/>
          <w:sz w:val="26"/>
          <w:szCs w:val="26"/>
        </w:rPr>
        <w:t>departamentales</w:t>
      </w:r>
      <w:r>
        <w:rPr>
          <w:rFonts w:ascii="Arial" w:hAnsi="Arial" w:cs="Arial"/>
          <w:sz w:val="26"/>
          <w:szCs w:val="26"/>
        </w:rPr>
        <w:t xml:space="preserve"> o de cualquier orden</w:t>
      </w:r>
      <w:r w:rsidRPr="003723CE">
        <w:rPr>
          <w:rFonts w:ascii="Arial" w:hAnsi="Arial" w:cs="Arial"/>
          <w:sz w:val="26"/>
          <w:szCs w:val="26"/>
        </w:rPr>
        <w:t xml:space="preserve"> la exigen como requisito para financiar o cofinanciar proyectos de inversión con los municipios</w:t>
      </w:r>
      <w:r>
        <w:rPr>
          <w:rFonts w:ascii="Arial" w:hAnsi="Arial" w:cs="Arial"/>
          <w:sz w:val="26"/>
          <w:szCs w:val="26"/>
        </w:rPr>
        <w:t xml:space="preserve">. </w:t>
      </w:r>
    </w:p>
    <w:p w:rsidR="00946BD8" w:rsidRDefault="00946BD8" w:rsidP="00522F7D">
      <w:pPr>
        <w:spacing w:line="276" w:lineRule="auto"/>
        <w:jc w:val="both"/>
        <w:rPr>
          <w:rFonts w:ascii="Arial" w:hAnsi="Arial" w:cs="Arial"/>
          <w:sz w:val="26"/>
          <w:szCs w:val="26"/>
          <w:lang w:val="es-ES"/>
        </w:rPr>
      </w:pPr>
    </w:p>
    <w:p w:rsidR="005A6E68" w:rsidRDefault="00ED221C" w:rsidP="00522F7D">
      <w:pPr>
        <w:spacing w:line="276" w:lineRule="auto"/>
        <w:jc w:val="both"/>
        <w:rPr>
          <w:rFonts w:ascii="Arial" w:hAnsi="Arial" w:cs="Arial"/>
          <w:b/>
          <w:sz w:val="26"/>
          <w:szCs w:val="26"/>
          <w:lang w:val="es-ES"/>
        </w:rPr>
      </w:pPr>
      <w:r>
        <w:rPr>
          <w:rFonts w:ascii="Arial" w:hAnsi="Arial" w:cs="Arial"/>
          <w:b/>
          <w:sz w:val="26"/>
          <w:szCs w:val="26"/>
          <w:lang w:val="es-ES"/>
        </w:rPr>
        <w:t>2</w:t>
      </w:r>
      <w:r w:rsidR="00946BD8">
        <w:rPr>
          <w:rFonts w:ascii="Arial" w:hAnsi="Arial" w:cs="Arial"/>
          <w:b/>
          <w:sz w:val="26"/>
          <w:szCs w:val="26"/>
          <w:lang w:val="es-ES"/>
        </w:rPr>
        <w:t xml:space="preserve">. Consideraciones generales </w:t>
      </w:r>
    </w:p>
    <w:p w:rsidR="005A6E68" w:rsidRDefault="005A6E68" w:rsidP="00522F7D">
      <w:pPr>
        <w:spacing w:line="276" w:lineRule="auto"/>
        <w:jc w:val="both"/>
        <w:rPr>
          <w:rFonts w:ascii="Arial" w:hAnsi="Arial" w:cs="Arial"/>
          <w:b/>
          <w:sz w:val="26"/>
          <w:szCs w:val="26"/>
          <w:lang w:val="es-ES"/>
        </w:rPr>
      </w:pPr>
    </w:p>
    <w:p w:rsidR="00C53B8F" w:rsidRDefault="00C53B8F" w:rsidP="00522F7D">
      <w:pPr>
        <w:spacing w:line="276" w:lineRule="auto"/>
        <w:jc w:val="both"/>
        <w:rPr>
          <w:rFonts w:ascii="Arial" w:hAnsi="Arial" w:cs="Arial"/>
          <w:sz w:val="26"/>
          <w:szCs w:val="26"/>
        </w:rPr>
      </w:pPr>
      <w:r w:rsidRPr="00C53B8F">
        <w:rPr>
          <w:rFonts w:ascii="Arial" w:hAnsi="Arial" w:cs="Arial"/>
          <w:sz w:val="26"/>
          <w:szCs w:val="26"/>
        </w:rPr>
        <w:t>El inciso 7º del artículo 48 del Régimen Municipal (Ley 1551 de 2012) habilitó a los municipios para recibir recursos de inversión de la Nación para intervenir bienes sobre los cuales el municipio no tiene el título, con el ú</w:t>
      </w:r>
      <w:r w:rsidR="006E594E">
        <w:rPr>
          <w:rFonts w:ascii="Arial" w:hAnsi="Arial" w:cs="Arial"/>
          <w:sz w:val="26"/>
          <w:szCs w:val="26"/>
        </w:rPr>
        <w:t xml:space="preserve">nico requisito de demostrar la posesión </w:t>
      </w:r>
      <w:r w:rsidRPr="00C53B8F">
        <w:rPr>
          <w:rFonts w:ascii="Arial" w:hAnsi="Arial" w:cs="Arial"/>
          <w:sz w:val="26"/>
          <w:szCs w:val="26"/>
        </w:rPr>
        <w:t xml:space="preserve">del bien </w:t>
      </w:r>
      <w:r>
        <w:rPr>
          <w:rFonts w:ascii="Arial" w:hAnsi="Arial" w:cs="Arial"/>
          <w:sz w:val="26"/>
          <w:szCs w:val="26"/>
        </w:rPr>
        <w:t>y su destinación al uso público. El espíritu de esta norma pretendía que los alcaldes del país pudiesen efectuar inversión social</w:t>
      </w:r>
      <w:r w:rsidR="0060087E">
        <w:rPr>
          <w:rFonts w:ascii="Arial" w:hAnsi="Arial" w:cs="Arial"/>
          <w:sz w:val="26"/>
          <w:szCs w:val="26"/>
        </w:rPr>
        <w:t xml:space="preserve"> con recursos de la Nación</w:t>
      </w:r>
      <w:r>
        <w:rPr>
          <w:rFonts w:ascii="Arial" w:hAnsi="Arial" w:cs="Arial"/>
          <w:sz w:val="26"/>
          <w:szCs w:val="26"/>
        </w:rPr>
        <w:t xml:space="preserve"> sobre terrenos que en la mayoría de los casos son donados y cuyo uso ha</w:t>
      </w:r>
      <w:r w:rsidR="0060087E">
        <w:rPr>
          <w:rFonts w:ascii="Arial" w:hAnsi="Arial" w:cs="Arial"/>
          <w:sz w:val="26"/>
          <w:szCs w:val="26"/>
        </w:rPr>
        <w:t>bitual y de buena fe es público, pero sobre los cuales nunca se efectuó la legalización de la transferencia a ningún título.</w:t>
      </w:r>
    </w:p>
    <w:p w:rsidR="00C53B8F" w:rsidRPr="00C53B8F" w:rsidRDefault="00C53B8F" w:rsidP="00522F7D">
      <w:pPr>
        <w:spacing w:line="276" w:lineRule="auto"/>
        <w:jc w:val="both"/>
        <w:rPr>
          <w:rFonts w:ascii="Arial" w:hAnsi="Arial" w:cs="Arial"/>
          <w:sz w:val="26"/>
          <w:szCs w:val="26"/>
        </w:rPr>
      </w:pPr>
    </w:p>
    <w:p w:rsidR="005950CF" w:rsidRDefault="00C53B8F" w:rsidP="00522F7D">
      <w:pPr>
        <w:spacing w:line="276" w:lineRule="auto"/>
        <w:jc w:val="both"/>
        <w:rPr>
          <w:rFonts w:ascii="Arial" w:hAnsi="Arial" w:cs="Arial"/>
          <w:sz w:val="26"/>
          <w:szCs w:val="26"/>
        </w:rPr>
      </w:pPr>
      <w:r>
        <w:rPr>
          <w:rFonts w:ascii="Arial" w:hAnsi="Arial" w:cs="Arial"/>
          <w:sz w:val="26"/>
          <w:szCs w:val="26"/>
        </w:rPr>
        <w:t xml:space="preserve">Sin embargo, dado que la norma no </w:t>
      </w:r>
      <w:r w:rsidR="00A44EE1">
        <w:rPr>
          <w:rFonts w:ascii="Arial" w:hAnsi="Arial" w:cs="Arial"/>
          <w:sz w:val="26"/>
          <w:szCs w:val="26"/>
        </w:rPr>
        <w:t>estableció un procedimiento en particular a través del cual se pudiere</w:t>
      </w:r>
      <w:r>
        <w:rPr>
          <w:rFonts w:ascii="Arial" w:hAnsi="Arial" w:cs="Arial"/>
          <w:sz w:val="26"/>
          <w:szCs w:val="26"/>
        </w:rPr>
        <w:t xml:space="preserve"> acreditar la posesión de buena fe y el uso público del bien, </w:t>
      </w:r>
      <w:r w:rsidRPr="00C53B8F">
        <w:rPr>
          <w:rFonts w:ascii="Arial" w:hAnsi="Arial" w:cs="Arial"/>
          <w:sz w:val="26"/>
          <w:szCs w:val="26"/>
        </w:rPr>
        <w:t xml:space="preserve">los municipios se enfrentan a innumerables requisitos y barreras administrativas que </w:t>
      </w:r>
      <w:r>
        <w:rPr>
          <w:rFonts w:ascii="Arial" w:hAnsi="Arial" w:cs="Arial"/>
          <w:sz w:val="26"/>
          <w:szCs w:val="26"/>
        </w:rPr>
        <w:t>en último término</w:t>
      </w:r>
      <w:r w:rsidRPr="00C53B8F">
        <w:rPr>
          <w:rFonts w:ascii="Arial" w:hAnsi="Arial" w:cs="Arial"/>
          <w:sz w:val="26"/>
          <w:szCs w:val="26"/>
        </w:rPr>
        <w:t xml:space="preserve"> les </w:t>
      </w:r>
      <w:r w:rsidR="0060087E">
        <w:rPr>
          <w:rFonts w:ascii="Arial" w:hAnsi="Arial" w:cs="Arial"/>
          <w:sz w:val="26"/>
          <w:szCs w:val="26"/>
        </w:rPr>
        <w:t>siguen impidiendo</w:t>
      </w:r>
      <w:r w:rsidRPr="00C53B8F">
        <w:rPr>
          <w:rFonts w:ascii="Arial" w:hAnsi="Arial" w:cs="Arial"/>
          <w:sz w:val="26"/>
          <w:szCs w:val="26"/>
        </w:rPr>
        <w:t xml:space="preserve"> acceder a los recursos de inversión de l</w:t>
      </w:r>
      <w:r w:rsidR="00522F7D">
        <w:rPr>
          <w:rFonts w:ascii="Arial" w:hAnsi="Arial" w:cs="Arial"/>
          <w:sz w:val="26"/>
          <w:szCs w:val="26"/>
        </w:rPr>
        <w:t>a N</w:t>
      </w:r>
      <w:r>
        <w:rPr>
          <w:rFonts w:ascii="Arial" w:hAnsi="Arial" w:cs="Arial"/>
          <w:sz w:val="26"/>
          <w:szCs w:val="26"/>
        </w:rPr>
        <w:t>ación.</w:t>
      </w:r>
    </w:p>
    <w:p w:rsidR="00946BD8" w:rsidRDefault="00946BD8" w:rsidP="00522F7D">
      <w:pPr>
        <w:spacing w:line="276" w:lineRule="auto"/>
        <w:jc w:val="both"/>
        <w:rPr>
          <w:rFonts w:ascii="Arial" w:hAnsi="Arial" w:cs="Arial"/>
          <w:sz w:val="26"/>
          <w:szCs w:val="26"/>
        </w:rPr>
      </w:pPr>
    </w:p>
    <w:p w:rsidR="00522F7D" w:rsidRDefault="005A6E68" w:rsidP="00522F7D">
      <w:pPr>
        <w:spacing w:line="276" w:lineRule="auto"/>
        <w:jc w:val="both"/>
        <w:rPr>
          <w:rFonts w:ascii="Arial" w:hAnsi="Arial" w:cs="Arial"/>
          <w:sz w:val="26"/>
          <w:szCs w:val="26"/>
        </w:rPr>
      </w:pPr>
      <w:r>
        <w:rPr>
          <w:rFonts w:ascii="Arial" w:hAnsi="Arial" w:cs="Arial"/>
          <w:sz w:val="26"/>
          <w:szCs w:val="26"/>
        </w:rPr>
        <w:lastRenderedPageBreak/>
        <w:t xml:space="preserve">Existe, entonces, la necesidad de </w:t>
      </w:r>
      <w:r w:rsidR="00522F7D">
        <w:rPr>
          <w:rFonts w:ascii="Arial" w:hAnsi="Arial" w:cs="Arial"/>
          <w:sz w:val="26"/>
          <w:szCs w:val="26"/>
        </w:rPr>
        <w:t>esclarecer en la Ley</w:t>
      </w:r>
      <w:r>
        <w:rPr>
          <w:rFonts w:ascii="Arial" w:hAnsi="Arial" w:cs="Arial"/>
          <w:sz w:val="26"/>
          <w:szCs w:val="26"/>
        </w:rPr>
        <w:t xml:space="preserve"> las condiciones en que se debe acreditar la posesión de los bienes públicos para los fines contemplados en el inciso último del artículo 48 de la Ley 1551 de 2012</w:t>
      </w:r>
      <w:r w:rsidR="0060087E">
        <w:rPr>
          <w:rFonts w:ascii="Arial" w:hAnsi="Arial" w:cs="Arial"/>
          <w:sz w:val="26"/>
          <w:szCs w:val="26"/>
        </w:rPr>
        <w:t xml:space="preserve"> y de esta manera darles certeza jurídica a los municipios del país</w:t>
      </w:r>
      <w:r w:rsidR="00ED221C">
        <w:rPr>
          <w:rFonts w:ascii="Arial" w:hAnsi="Arial" w:cs="Arial"/>
          <w:sz w:val="26"/>
          <w:szCs w:val="26"/>
        </w:rPr>
        <w:t xml:space="preserve"> y fortalecerlos financieramente</w:t>
      </w:r>
      <w:r>
        <w:rPr>
          <w:rFonts w:ascii="Arial" w:hAnsi="Arial" w:cs="Arial"/>
          <w:sz w:val="26"/>
          <w:szCs w:val="26"/>
        </w:rPr>
        <w:t xml:space="preserve">. </w:t>
      </w:r>
    </w:p>
    <w:p w:rsidR="00ED221C" w:rsidRPr="00ED221C" w:rsidRDefault="00ED221C" w:rsidP="00522F7D">
      <w:pPr>
        <w:spacing w:line="276" w:lineRule="auto"/>
        <w:jc w:val="both"/>
        <w:rPr>
          <w:rFonts w:ascii="Arial" w:hAnsi="Arial" w:cs="Arial"/>
          <w:sz w:val="26"/>
          <w:szCs w:val="26"/>
        </w:rPr>
      </w:pPr>
    </w:p>
    <w:p w:rsidR="00522F7D" w:rsidRDefault="00522F7D" w:rsidP="00522F7D">
      <w:pPr>
        <w:spacing w:line="276" w:lineRule="auto"/>
        <w:jc w:val="both"/>
        <w:rPr>
          <w:rFonts w:ascii="Arial" w:hAnsi="Arial" w:cs="Arial"/>
          <w:sz w:val="26"/>
          <w:szCs w:val="26"/>
        </w:rPr>
      </w:pPr>
      <w:r>
        <w:rPr>
          <w:rFonts w:ascii="Arial" w:hAnsi="Arial" w:cs="Arial"/>
          <w:sz w:val="26"/>
          <w:szCs w:val="26"/>
        </w:rPr>
        <w:t xml:space="preserve">El inciso séptimo del artículo 48 de </w:t>
      </w:r>
      <w:r w:rsidRPr="001178F6">
        <w:rPr>
          <w:rFonts w:ascii="Arial" w:hAnsi="Arial" w:cs="Arial"/>
          <w:sz w:val="26"/>
          <w:szCs w:val="26"/>
        </w:rPr>
        <w:t>la Ley 1551 de 2012 de ninguna</w:t>
      </w:r>
      <w:r>
        <w:rPr>
          <w:rFonts w:ascii="Arial" w:hAnsi="Arial" w:cs="Arial"/>
          <w:sz w:val="26"/>
          <w:szCs w:val="26"/>
        </w:rPr>
        <w:t xml:space="preserve"> </w:t>
      </w:r>
      <w:r w:rsidR="008A2D28">
        <w:rPr>
          <w:rFonts w:ascii="Arial" w:hAnsi="Arial" w:cs="Arial"/>
          <w:sz w:val="26"/>
          <w:szCs w:val="26"/>
        </w:rPr>
        <w:t>manera supuso una modificación al derecho de bienes del país ni la creación de una nueva modalidad de propiedad</w:t>
      </w:r>
      <w:r>
        <w:rPr>
          <w:rFonts w:ascii="Arial" w:hAnsi="Arial" w:cs="Arial"/>
          <w:sz w:val="26"/>
          <w:szCs w:val="26"/>
        </w:rPr>
        <w:t xml:space="preserve">, toda vez que la acreditación de la posesión no supone otorgarle al poseedor de manera plena la calidad de propietario. </w:t>
      </w:r>
    </w:p>
    <w:p w:rsidR="00522F7D" w:rsidRPr="00522F7D" w:rsidRDefault="00522F7D" w:rsidP="00522F7D">
      <w:pPr>
        <w:spacing w:line="276" w:lineRule="auto"/>
        <w:jc w:val="both"/>
        <w:rPr>
          <w:rFonts w:ascii="Arial" w:hAnsi="Arial" w:cs="Arial"/>
          <w:sz w:val="26"/>
          <w:szCs w:val="26"/>
        </w:rPr>
      </w:pPr>
    </w:p>
    <w:p w:rsidR="00522F7D" w:rsidRDefault="00522F7D" w:rsidP="00522F7D">
      <w:pPr>
        <w:spacing w:line="276" w:lineRule="auto"/>
        <w:jc w:val="both"/>
        <w:rPr>
          <w:rFonts w:ascii="Arial" w:hAnsi="Arial" w:cs="Arial"/>
          <w:sz w:val="26"/>
          <w:szCs w:val="26"/>
        </w:rPr>
      </w:pPr>
      <w:r w:rsidRPr="00522F7D">
        <w:rPr>
          <w:rFonts w:ascii="Arial" w:hAnsi="Arial" w:cs="Arial"/>
          <w:sz w:val="26"/>
          <w:szCs w:val="26"/>
        </w:rPr>
        <w:t xml:space="preserve">En Colombia el derecho de propiedad solo </w:t>
      </w:r>
      <w:r w:rsidR="008A2D28">
        <w:rPr>
          <w:rFonts w:ascii="Arial" w:hAnsi="Arial" w:cs="Arial"/>
          <w:sz w:val="26"/>
          <w:szCs w:val="26"/>
        </w:rPr>
        <w:t>puede demostrarse</w:t>
      </w:r>
      <w:r w:rsidRPr="00522F7D">
        <w:rPr>
          <w:rFonts w:ascii="Arial" w:hAnsi="Arial" w:cs="Arial"/>
          <w:sz w:val="26"/>
          <w:szCs w:val="26"/>
        </w:rPr>
        <w:t xml:space="preserve"> ante la conjunción de dos elementos: el título y el modo. Es entonces indiscutible que la sola acreditación de la posesión no es criterio de derecho suficiente para demostrar la propiedad de un bien. </w:t>
      </w:r>
      <w:r>
        <w:rPr>
          <w:rFonts w:ascii="Arial" w:hAnsi="Arial" w:cs="Arial"/>
          <w:sz w:val="26"/>
          <w:szCs w:val="26"/>
        </w:rPr>
        <w:t xml:space="preserve">Así lo </w:t>
      </w:r>
      <w:r w:rsidR="00ED221C">
        <w:rPr>
          <w:rFonts w:ascii="Arial" w:hAnsi="Arial" w:cs="Arial"/>
          <w:sz w:val="26"/>
          <w:szCs w:val="26"/>
        </w:rPr>
        <w:t>advirtió</w:t>
      </w:r>
      <w:r w:rsidR="008A2D28">
        <w:rPr>
          <w:rFonts w:ascii="Arial" w:hAnsi="Arial" w:cs="Arial"/>
          <w:sz w:val="26"/>
          <w:szCs w:val="26"/>
        </w:rPr>
        <w:t xml:space="preserve"> el Consejo de Estado:</w:t>
      </w:r>
    </w:p>
    <w:p w:rsidR="008A2D28" w:rsidRDefault="008A2D28" w:rsidP="00522F7D">
      <w:pPr>
        <w:spacing w:line="276" w:lineRule="auto"/>
        <w:jc w:val="both"/>
        <w:rPr>
          <w:rFonts w:ascii="Arial" w:hAnsi="Arial" w:cs="Arial"/>
          <w:sz w:val="26"/>
          <w:szCs w:val="26"/>
        </w:rPr>
      </w:pPr>
    </w:p>
    <w:p w:rsidR="008A2D28" w:rsidRDefault="008A2D28" w:rsidP="008A2D28">
      <w:pPr>
        <w:ind w:left="284" w:right="284"/>
        <w:jc w:val="both"/>
        <w:rPr>
          <w:rFonts w:ascii="Arial" w:hAnsi="Arial" w:cs="Arial"/>
          <w:i/>
          <w:sz w:val="26"/>
          <w:szCs w:val="26"/>
          <w:lang w:val="es-CO" w:eastAsia="es-CO"/>
        </w:rPr>
      </w:pPr>
      <w:r w:rsidRPr="008A2D28">
        <w:rPr>
          <w:rFonts w:ascii="Arial" w:hAnsi="Arial" w:cs="Arial"/>
          <w:sz w:val="26"/>
          <w:szCs w:val="26"/>
        </w:rPr>
        <w:t>De entrada la Sala advierte que en forma alguna la norma que se estudia comprende una modificación a la estructura del derecho de bienes en el país, ni eleva al poseedor a la calidad plena de propietario. La norma se limita a definir dos sujetos específicos y un marco concreto –la exigencia de la entidad nacional al municipio de la prueba de propiedad de los bienes inmuebles que van a ser objeto de intervención–, para la presunción de propiedad con la cual se encuentran favorecidos todos los poseedores en los términos del inciso segundo del artículo 762 del Código Civil</w:t>
      </w:r>
      <w:r w:rsidRPr="008A2D28">
        <w:rPr>
          <w:rFonts w:ascii="Arial" w:hAnsi="Arial" w:cs="Arial"/>
          <w:sz w:val="26"/>
          <w:szCs w:val="26"/>
          <w:lang w:val="es-CO" w:eastAsia="es-CO"/>
        </w:rPr>
        <w:t xml:space="preserve">, según la cual </w:t>
      </w:r>
      <w:r w:rsidRPr="008A2D28">
        <w:rPr>
          <w:rFonts w:ascii="Arial" w:hAnsi="Arial" w:cs="Arial"/>
          <w:i/>
          <w:sz w:val="26"/>
          <w:szCs w:val="26"/>
          <w:lang w:val="es-CO" w:eastAsia="es-CO"/>
        </w:rPr>
        <w:t>“[e]l poseedor es reputado dueño, mientras otra persona no justifique serlo”.</w:t>
      </w:r>
      <w:r>
        <w:rPr>
          <w:rStyle w:val="Refdenotaalpie"/>
          <w:rFonts w:ascii="Arial" w:hAnsi="Arial" w:cs="Arial"/>
          <w:i/>
          <w:sz w:val="26"/>
          <w:szCs w:val="26"/>
          <w:lang w:val="es-CO" w:eastAsia="es-CO"/>
        </w:rPr>
        <w:footnoteReference w:id="1"/>
      </w:r>
    </w:p>
    <w:p w:rsidR="00ED221C" w:rsidRDefault="00ED221C" w:rsidP="00ED221C">
      <w:pPr>
        <w:ind w:right="284"/>
        <w:jc w:val="both"/>
        <w:rPr>
          <w:rFonts w:ascii="Arial" w:hAnsi="Arial" w:cs="Arial"/>
          <w:i/>
          <w:sz w:val="26"/>
          <w:szCs w:val="26"/>
          <w:lang w:val="es-CO" w:eastAsia="es-CO"/>
        </w:rPr>
      </w:pPr>
    </w:p>
    <w:p w:rsidR="00ED221C" w:rsidRPr="00ED221C" w:rsidRDefault="00ED221C" w:rsidP="00ED221C">
      <w:pPr>
        <w:ind w:right="284"/>
        <w:jc w:val="both"/>
        <w:rPr>
          <w:rFonts w:ascii="Arial" w:hAnsi="Arial" w:cs="Arial"/>
          <w:iCs/>
          <w:sz w:val="26"/>
          <w:szCs w:val="26"/>
          <w:lang w:val="es-CO" w:eastAsia="es-CO"/>
        </w:rPr>
      </w:pPr>
      <w:r>
        <w:rPr>
          <w:rFonts w:ascii="Arial" w:hAnsi="Arial" w:cs="Arial"/>
          <w:iCs/>
          <w:sz w:val="26"/>
          <w:szCs w:val="26"/>
          <w:lang w:val="es-CO" w:eastAsia="es-CO"/>
        </w:rPr>
        <w:t xml:space="preserve">El proyecto de ley, por consiguiente, no pretende otra cosa que permitir </w:t>
      </w:r>
      <w:r w:rsidR="00E60DD6">
        <w:rPr>
          <w:rFonts w:ascii="Arial" w:hAnsi="Arial" w:cs="Arial"/>
          <w:iCs/>
          <w:sz w:val="26"/>
          <w:szCs w:val="26"/>
          <w:lang w:val="es-CO" w:eastAsia="es-CO"/>
        </w:rPr>
        <w:t>la aplicación efectiva</w:t>
      </w:r>
      <w:r>
        <w:rPr>
          <w:rFonts w:ascii="Arial" w:hAnsi="Arial" w:cs="Arial"/>
          <w:iCs/>
          <w:sz w:val="26"/>
          <w:szCs w:val="26"/>
          <w:lang w:val="es-CO" w:eastAsia="es-CO"/>
        </w:rPr>
        <w:t xml:space="preserve"> </w:t>
      </w:r>
      <w:r w:rsidR="00E60DD6">
        <w:rPr>
          <w:rFonts w:ascii="Arial" w:hAnsi="Arial" w:cs="Arial"/>
          <w:iCs/>
          <w:sz w:val="26"/>
          <w:szCs w:val="26"/>
          <w:lang w:val="es-CO" w:eastAsia="es-CO"/>
        </w:rPr>
        <w:t>de</w:t>
      </w:r>
      <w:r>
        <w:rPr>
          <w:rFonts w:ascii="Arial" w:hAnsi="Arial" w:cs="Arial"/>
          <w:iCs/>
          <w:sz w:val="26"/>
          <w:szCs w:val="26"/>
          <w:lang w:val="es-CO" w:eastAsia="es-CO"/>
        </w:rPr>
        <w:t xml:space="preserve"> una disposición que se encuentra vigente en el </w:t>
      </w:r>
      <w:r>
        <w:rPr>
          <w:rFonts w:ascii="Arial" w:hAnsi="Arial" w:cs="Arial"/>
          <w:iCs/>
          <w:sz w:val="26"/>
          <w:szCs w:val="26"/>
          <w:lang w:val="es-CO" w:eastAsia="es-CO"/>
        </w:rPr>
        <w:lastRenderedPageBreak/>
        <w:t xml:space="preserve">ordenamiento jurídico pero </w:t>
      </w:r>
      <w:r w:rsidR="00E60DD6">
        <w:rPr>
          <w:rFonts w:ascii="Arial" w:hAnsi="Arial" w:cs="Arial"/>
          <w:iCs/>
          <w:sz w:val="26"/>
          <w:szCs w:val="26"/>
          <w:lang w:val="es-CO" w:eastAsia="es-CO"/>
        </w:rPr>
        <w:t>que no ha podido ser aprovechada por los municipios del país.</w:t>
      </w:r>
    </w:p>
    <w:p w:rsidR="00550DF4" w:rsidRDefault="00550DF4" w:rsidP="00550DF4">
      <w:pPr>
        <w:ind w:right="284"/>
        <w:jc w:val="both"/>
        <w:rPr>
          <w:rFonts w:ascii="Arial" w:hAnsi="Arial" w:cs="Arial"/>
          <w:sz w:val="26"/>
          <w:szCs w:val="26"/>
          <w:lang w:val="es-CO" w:eastAsia="es-CO"/>
        </w:rPr>
      </w:pPr>
    </w:p>
    <w:p w:rsidR="00ED221C" w:rsidRDefault="00ED221C" w:rsidP="00550DF4">
      <w:pPr>
        <w:ind w:right="284"/>
        <w:jc w:val="both"/>
        <w:rPr>
          <w:rFonts w:ascii="Arial" w:hAnsi="Arial" w:cs="Arial"/>
          <w:b/>
          <w:bCs/>
          <w:sz w:val="26"/>
          <w:szCs w:val="26"/>
          <w:lang w:val="es-CO" w:eastAsia="es-CO"/>
        </w:rPr>
      </w:pPr>
      <w:r>
        <w:rPr>
          <w:rFonts w:ascii="Arial" w:hAnsi="Arial" w:cs="Arial"/>
          <w:b/>
          <w:bCs/>
          <w:sz w:val="26"/>
          <w:szCs w:val="26"/>
          <w:lang w:val="es-CO" w:eastAsia="es-CO"/>
        </w:rPr>
        <w:t>3.</w:t>
      </w:r>
      <w:r w:rsidR="00EC1190">
        <w:rPr>
          <w:rFonts w:ascii="Arial" w:hAnsi="Arial" w:cs="Arial"/>
          <w:b/>
          <w:bCs/>
          <w:sz w:val="26"/>
          <w:szCs w:val="26"/>
          <w:lang w:val="es-CO" w:eastAsia="es-CO"/>
        </w:rPr>
        <w:t xml:space="preserve"> </w:t>
      </w:r>
      <w:r>
        <w:rPr>
          <w:rFonts w:ascii="Arial" w:hAnsi="Arial" w:cs="Arial"/>
          <w:b/>
          <w:bCs/>
          <w:sz w:val="26"/>
          <w:szCs w:val="26"/>
          <w:lang w:val="es-CO" w:eastAsia="es-CO"/>
        </w:rPr>
        <w:t>Sobre la posesión</w:t>
      </w:r>
    </w:p>
    <w:p w:rsidR="00ED221C" w:rsidRDefault="00ED221C" w:rsidP="00550DF4">
      <w:pPr>
        <w:ind w:right="284"/>
        <w:jc w:val="both"/>
        <w:rPr>
          <w:rFonts w:ascii="Arial" w:hAnsi="Arial" w:cs="Arial"/>
          <w:b/>
          <w:bCs/>
          <w:sz w:val="26"/>
          <w:szCs w:val="26"/>
          <w:lang w:val="es-CO" w:eastAsia="es-CO"/>
        </w:rPr>
      </w:pPr>
    </w:p>
    <w:p w:rsidR="00ED221C" w:rsidRDefault="00ED221C" w:rsidP="00ED221C">
      <w:pPr>
        <w:pStyle w:val="NormalWeb"/>
        <w:shd w:val="clear" w:color="auto" w:fill="FFFFFF"/>
        <w:spacing w:before="150" w:beforeAutospacing="0" w:after="150" w:afterAutospacing="0"/>
        <w:rPr>
          <w:rFonts w:ascii="Arial" w:hAnsi="Arial" w:cs="Arial"/>
          <w:sz w:val="26"/>
          <w:szCs w:val="26"/>
          <w:lang w:eastAsia="es-CO"/>
        </w:rPr>
      </w:pPr>
      <w:r>
        <w:rPr>
          <w:rFonts w:ascii="Arial" w:hAnsi="Arial" w:cs="Arial"/>
          <w:sz w:val="26"/>
          <w:szCs w:val="26"/>
          <w:lang w:eastAsia="es-CO"/>
        </w:rPr>
        <w:t xml:space="preserve">El artículo 762 del Código Civil define la posesión como </w:t>
      </w:r>
    </w:p>
    <w:p w:rsidR="00ED221C" w:rsidRPr="00ED221C" w:rsidRDefault="00ED221C" w:rsidP="00ED221C">
      <w:pPr>
        <w:pStyle w:val="NormalWeb"/>
        <w:shd w:val="clear" w:color="auto" w:fill="FFFFFF"/>
        <w:spacing w:before="150" w:beforeAutospacing="0" w:after="150" w:afterAutospacing="0"/>
        <w:ind w:left="284" w:right="284"/>
        <w:jc w:val="both"/>
        <w:rPr>
          <w:rFonts w:ascii="Arial" w:hAnsi="Arial" w:cs="Arial"/>
          <w:color w:val="000000" w:themeColor="text1"/>
          <w:sz w:val="26"/>
          <w:szCs w:val="26"/>
        </w:rPr>
      </w:pPr>
      <w:r w:rsidRPr="00ED221C">
        <w:rPr>
          <w:rFonts w:ascii="Arial" w:hAnsi="Arial" w:cs="Arial"/>
          <w:color w:val="000000" w:themeColor="text1"/>
          <w:sz w:val="26"/>
          <w:szCs w:val="26"/>
        </w:rPr>
        <w:t>“la tenencia de una cosa determinada con ánimo de señor o dueño, sea que el dueño o el que se da por tal, tenga la cosa por sí mismo, o por otra persona que la tenga en lugar y a nombre de él.</w:t>
      </w:r>
      <w:r>
        <w:rPr>
          <w:rFonts w:ascii="Arial" w:hAnsi="Arial" w:cs="Arial"/>
          <w:color w:val="000000" w:themeColor="text1"/>
          <w:sz w:val="26"/>
          <w:szCs w:val="26"/>
        </w:rPr>
        <w:t xml:space="preserve"> </w:t>
      </w:r>
      <w:r w:rsidRPr="00ED221C">
        <w:rPr>
          <w:rFonts w:ascii="Arial" w:hAnsi="Arial" w:cs="Arial"/>
          <w:color w:val="000000" w:themeColor="text1"/>
          <w:sz w:val="26"/>
          <w:szCs w:val="26"/>
        </w:rPr>
        <w:t>El poseedor es reputado dueño, mientras otra persona no justifique serlo.</w:t>
      </w:r>
      <w:r>
        <w:rPr>
          <w:rFonts w:ascii="Arial" w:hAnsi="Arial" w:cs="Arial"/>
          <w:color w:val="000000" w:themeColor="text1"/>
          <w:sz w:val="26"/>
          <w:szCs w:val="26"/>
        </w:rPr>
        <w:t>”</w:t>
      </w:r>
    </w:p>
    <w:p w:rsidR="005C4E78" w:rsidRDefault="00E60DD6" w:rsidP="005C4E78">
      <w:pPr>
        <w:jc w:val="both"/>
        <w:rPr>
          <w:rFonts w:ascii="Arial" w:hAnsi="Arial" w:cs="Arial"/>
          <w:iCs/>
          <w:sz w:val="26"/>
          <w:szCs w:val="26"/>
          <w:lang w:val="es-ES" w:eastAsia="es-CO"/>
        </w:rPr>
      </w:pPr>
      <w:r>
        <w:rPr>
          <w:rFonts w:ascii="Arial" w:hAnsi="Arial" w:cs="Arial"/>
          <w:sz w:val="26"/>
          <w:szCs w:val="26"/>
          <w:lang w:val="es-CO" w:eastAsia="es-CO"/>
        </w:rPr>
        <w:t xml:space="preserve">A su vez, la Corte Suprema de Justicia aclaró que </w:t>
      </w:r>
      <w:r w:rsidRPr="00E60DD6">
        <w:rPr>
          <w:rFonts w:ascii="Arial" w:hAnsi="Arial" w:cs="Arial"/>
          <w:i/>
          <w:sz w:val="26"/>
          <w:szCs w:val="26"/>
          <w:lang w:eastAsia="es-CO"/>
        </w:rPr>
        <w:t>“la posesión es un derecho auxiliar para el dueño de la cosa o es un derecho provisional para el que no es dueño de ella, pero puede estar en vías de serlo”</w:t>
      </w:r>
      <w:r>
        <w:rPr>
          <w:rStyle w:val="Refdenotaalpie"/>
          <w:rFonts w:ascii="Arial" w:hAnsi="Arial" w:cs="Arial"/>
          <w:i/>
          <w:sz w:val="26"/>
          <w:szCs w:val="26"/>
          <w:lang w:eastAsia="es-CO"/>
        </w:rPr>
        <w:footnoteReference w:id="2"/>
      </w:r>
      <w:r w:rsidR="005C4E78">
        <w:rPr>
          <w:rFonts w:ascii="Arial" w:hAnsi="Arial" w:cs="Arial"/>
          <w:iCs/>
          <w:sz w:val="26"/>
          <w:szCs w:val="26"/>
          <w:lang w:eastAsia="es-CO"/>
        </w:rPr>
        <w:t>. Podría afirmarse, entonces, que la posesión se asocia a la dominación de hecho de una persona sobre un objeto, posesión que en el caso de los bienes públicos, es decir, la que es ejercida por el Estado, “</w:t>
      </w:r>
      <w:r w:rsidR="005C4E78" w:rsidRPr="005C4E78">
        <w:rPr>
          <w:rFonts w:ascii="Arial" w:hAnsi="Arial" w:cs="Arial"/>
          <w:iCs/>
          <w:sz w:val="26"/>
          <w:szCs w:val="26"/>
          <w:lang w:val="es-ES" w:eastAsia="es-CO"/>
        </w:rPr>
        <w:t>no puede asimilarse a la que ejerce una persona particular, natural o jurídica, para su propio beneficio, puesto que esta pretende la adjudicación exclusiva, en tanto que la del Estado busca la satisfacción de un interés general y la utilidad pública.</w:t>
      </w:r>
      <w:r w:rsidR="005C4E78">
        <w:rPr>
          <w:rFonts w:ascii="Arial" w:hAnsi="Arial" w:cs="Arial"/>
          <w:iCs/>
          <w:sz w:val="26"/>
          <w:szCs w:val="26"/>
          <w:lang w:val="es-ES" w:eastAsia="es-CO"/>
        </w:rPr>
        <w:t>”</w:t>
      </w:r>
      <w:r w:rsidR="005C4E78">
        <w:rPr>
          <w:rStyle w:val="Refdenotaalpie"/>
          <w:rFonts w:ascii="Arial" w:hAnsi="Arial" w:cs="Arial"/>
          <w:iCs/>
          <w:sz w:val="26"/>
          <w:szCs w:val="26"/>
          <w:lang w:val="es-ES" w:eastAsia="es-CO"/>
        </w:rPr>
        <w:footnoteReference w:id="3"/>
      </w:r>
      <w:r w:rsidR="005C4E78">
        <w:rPr>
          <w:rFonts w:ascii="Arial" w:hAnsi="Arial" w:cs="Arial"/>
          <w:iCs/>
          <w:sz w:val="26"/>
          <w:szCs w:val="26"/>
          <w:lang w:val="es-ES" w:eastAsia="es-CO"/>
        </w:rPr>
        <w:t xml:space="preserve"> </w:t>
      </w:r>
    </w:p>
    <w:p w:rsidR="005C4E78" w:rsidRDefault="005C4E78" w:rsidP="005C4E78">
      <w:pPr>
        <w:jc w:val="both"/>
        <w:rPr>
          <w:rFonts w:ascii="Arial" w:hAnsi="Arial" w:cs="Arial"/>
          <w:iCs/>
          <w:sz w:val="26"/>
          <w:szCs w:val="26"/>
          <w:lang w:val="es-ES" w:eastAsia="es-CO"/>
        </w:rPr>
      </w:pPr>
    </w:p>
    <w:p w:rsidR="005C4E78" w:rsidRDefault="005C4E78" w:rsidP="005C4E78">
      <w:pPr>
        <w:jc w:val="both"/>
        <w:rPr>
          <w:rFonts w:ascii="Arial" w:hAnsi="Arial" w:cs="Arial"/>
          <w:iCs/>
          <w:sz w:val="26"/>
          <w:szCs w:val="26"/>
          <w:lang w:val="es-ES" w:eastAsia="es-CO"/>
        </w:rPr>
      </w:pPr>
      <w:r>
        <w:rPr>
          <w:rFonts w:ascii="Arial" w:hAnsi="Arial" w:cs="Arial"/>
          <w:iCs/>
          <w:sz w:val="26"/>
          <w:szCs w:val="26"/>
          <w:lang w:val="es-ES" w:eastAsia="es-CO"/>
        </w:rPr>
        <w:t>Es la posesión, entonces, el primer elemento de relevancia para acreditar la presunción de propiedad del municipio sobre terrenos sobre los cuales no posee el título. Es importante, sin embargo, el vínculo existente entre la posesión de buena fe ejercida por el Estado y la destinación al uso público que se le de al bien poseído</w:t>
      </w:r>
      <w:r w:rsidR="00EC1190">
        <w:rPr>
          <w:rFonts w:ascii="Arial" w:hAnsi="Arial" w:cs="Arial"/>
          <w:iCs/>
          <w:sz w:val="26"/>
          <w:szCs w:val="26"/>
          <w:lang w:val="es-ES" w:eastAsia="es-CO"/>
        </w:rPr>
        <w:t xml:space="preserve">, segundo elemento fundamental para acreditar la presunción de propiedad. </w:t>
      </w:r>
    </w:p>
    <w:p w:rsidR="00EC1190" w:rsidRDefault="00EC1190" w:rsidP="005C4E78">
      <w:pPr>
        <w:jc w:val="both"/>
        <w:rPr>
          <w:rFonts w:ascii="Arial" w:hAnsi="Arial" w:cs="Arial"/>
          <w:iCs/>
          <w:sz w:val="26"/>
          <w:szCs w:val="26"/>
          <w:lang w:val="es-ES" w:eastAsia="es-CO"/>
        </w:rPr>
      </w:pPr>
    </w:p>
    <w:p w:rsidR="00EC1190" w:rsidRDefault="00EC1190" w:rsidP="005C4E78">
      <w:pPr>
        <w:jc w:val="both"/>
        <w:rPr>
          <w:rFonts w:ascii="Arial" w:hAnsi="Arial" w:cs="Arial"/>
          <w:iCs/>
          <w:sz w:val="26"/>
          <w:szCs w:val="26"/>
          <w:lang w:val="es-ES" w:eastAsia="es-CO"/>
        </w:rPr>
      </w:pPr>
      <w:r>
        <w:rPr>
          <w:rFonts w:ascii="Arial" w:hAnsi="Arial" w:cs="Arial"/>
          <w:b/>
          <w:bCs/>
          <w:iCs/>
          <w:sz w:val="26"/>
          <w:szCs w:val="26"/>
          <w:lang w:val="es-ES" w:eastAsia="es-CO"/>
        </w:rPr>
        <w:t>4. Sobre la destinación al uso público</w:t>
      </w:r>
    </w:p>
    <w:p w:rsidR="00EC1190" w:rsidRDefault="00EC1190" w:rsidP="005C4E78">
      <w:pPr>
        <w:jc w:val="both"/>
        <w:rPr>
          <w:rFonts w:ascii="Arial" w:hAnsi="Arial" w:cs="Arial"/>
          <w:iCs/>
          <w:sz w:val="26"/>
          <w:szCs w:val="26"/>
          <w:lang w:val="es-ES" w:eastAsia="es-CO"/>
        </w:rPr>
      </w:pPr>
    </w:p>
    <w:p w:rsidR="00EC1190" w:rsidRDefault="00EC1190" w:rsidP="005C4E78">
      <w:pPr>
        <w:jc w:val="both"/>
        <w:rPr>
          <w:rFonts w:ascii="Arial" w:hAnsi="Arial" w:cs="Arial"/>
          <w:iCs/>
          <w:sz w:val="26"/>
          <w:szCs w:val="26"/>
          <w:lang w:val="es-ES" w:eastAsia="es-CO"/>
        </w:rPr>
      </w:pPr>
      <w:r>
        <w:rPr>
          <w:rFonts w:ascii="Arial" w:hAnsi="Arial" w:cs="Arial"/>
          <w:iCs/>
          <w:sz w:val="26"/>
          <w:szCs w:val="26"/>
          <w:lang w:val="es-ES" w:eastAsia="es-CO"/>
        </w:rPr>
        <w:t xml:space="preserve">Una de las más autorizadas referencias sobre este asunto puede hallarse en el artículo 674 del Código Civil que establece como de uso público a </w:t>
      </w:r>
      <w:r>
        <w:rPr>
          <w:rFonts w:ascii="Arial" w:hAnsi="Arial" w:cs="Arial"/>
          <w:iCs/>
          <w:sz w:val="26"/>
          <w:szCs w:val="26"/>
          <w:lang w:val="es-ES" w:eastAsia="es-CO"/>
        </w:rPr>
        <w:lastRenderedPageBreak/>
        <w:t>todos aquellos bienes cuyo uso “</w:t>
      </w:r>
      <w:r w:rsidRPr="00EC1190">
        <w:rPr>
          <w:rFonts w:ascii="Arial" w:hAnsi="Arial" w:cs="Arial"/>
          <w:iCs/>
          <w:sz w:val="26"/>
          <w:szCs w:val="26"/>
          <w:lang w:val="es-CO" w:eastAsia="es-CO"/>
        </w:rPr>
        <w:t>pertenece a todos los habitantes de un territorio, como el de calles, plazas, puentes y caminos, se llaman bienes de la Unión de uso o bienes públicos del territorio.</w:t>
      </w:r>
      <w:r>
        <w:rPr>
          <w:rFonts w:ascii="Arial" w:hAnsi="Arial" w:cs="Arial"/>
          <w:iCs/>
          <w:sz w:val="26"/>
          <w:szCs w:val="26"/>
          <w:lang w:val="es-CO" w:eastAsia="es-CO"/>
        </w:rPr>
        <w:t>” Adicionalmente, ha considerado el Consejo de Estado que se encuentran dentro de la misma categoría de bienes de uso público</w:t>
      </w:r>
      <w:r w:rsidR="007A08EB">
        <w:rPr>
          <w:rFonts w:ascii="Arial" w:hAnsi="Arial" w:cs="Arial"/>
          <w:iCs/>
          <w:sz w:val="26"/>
          <w:szCs w:val="26"/>
          <w:lang w:val="es-CO" w:eastAsia="es-CO"/>
        </w:rPr>
        <w:t>, inmersos en el propósito del artículo 48 de la Ley 1551 de 2012, los bienes que soportan “</w:t>
      </w:r>
      <w:r w:rsidR="007A08EB" w:rsidRPr="007A08EB">
        <w:rPr>
          <w:rFonts w:ascii="Arial" w:hAnsi="Arial" w:cs="Arial"/>
          <w:i/>
          <w:iCs/>
          <w:sz w:val="26"/>
          <w:szCs w:val="26"/>
          <w:lang w:val="es-ES" w:eastAsia="es-CO"/>
        </w:rPr>
        <w:t>afectaciones ambientales (zonas de reserva, recursos naturales, bienes afectos al Sistema Nacional de Parques Naturales, etc.) o urbanísticas (espacio público, zonas de desarrollo prioritario, construcción de obras públicas, etc.)”</w:t>
      </w:r>
      <w:r w:rsidR="007A08EB" w:rsidRPr="007A08EB">
        <w:rPr>
          <w:rFonts w:ascii="Arial" w:hAnsi="Arial" w:cs="Arial"/>
          <w:iCs/>
          <w:sz w:val="26"/>
          <w:szCs w:val="26"/>
          <w:vertAlign w:val="superscript"/>
          <w:lang w:eastAsia="es-CO"/>
        </w:rPr>
        <w:footnoteReference w:id="4"/>
      </w:r>
      <w:r w:rsidR="007A08EB" w:rsidRPr="007A08EB">
        <w:rPr>
          <w:rFonts w:ascii="Arial" w:hAnsi="Arial" w:cs="Arial"/>
          <w:iCs/>
          <w:sz w:val="26"/>
          <w:szCs w:val="26"/>
          <w:lang w:val="es-ES" w:eastAsia="es-CO"/>
        </w:rPr>
        <w:t>.</w:t>
      </w:r>
    </w:p>
    <w:p w:rsidR="007A08EB" w:rsidRDefault="007A08EB" w:rsidP="005C4E78">
      <w:pPr>
        <w:jc w:val="both"/>
        <w:rPr>
          <w:rFonts w:ascii="Arial" w:hAnsi="Arial" w:cs="Arial"/>
          <w:iCs/>
          <w:sz w:val="26"/>
          <w:szCs w:val="26"/>
          <w:lang w:val="es-ES" w:eastAsia="es-CO"/>
        </w:rPr>
      </w:pPr>
    </w:p>
    <w:p w:rsidR="007A08EB" w:rsidRDefault="007A08EB" w:rsidP="005C4E78">
      <w:pPr>
        <w:jc w:val="both"/>
        <w:rPr>
          <w:rFonts w:ascii="Arial" w:hAnsi="Arial" w:cs="Arial"/>
          <w:iCs/>
          <w:sz w:val="26"/>
          <w:szCs w:val="26"/>
          <w:lang w:val="es-ES" w:eastAsia="es-CO"/>
        </w:rPr>
      </w:pPr>
      <w:r>
        <w:rPr>
          <w:rFonts w:ascii="Arial" w:hAnsi="Arial" w:cs="Arial"/>
          <w:iCs/>
          <w:sz w:val="26"/>
          <w:szCs w:val="26"/>
          <w:lang w:val="es-ES" w:eastAsia="es-CO"/>
        </w:rPr>
        <w:t xml:space="preserve">Así, el segundo elemento de relevancia para la presunción de propiedad a efectos de aplicar el inciso 7º del artículo 48 del Régimen Municipal, es la acreditación del uso público dado al terreno sobre el cual el municipio ejerce la posesión, pues constituye el fundamento y la principal causa para que las entidades nacionales, departamentales y de todo orden, inviertan sus recursos en estos bienes. </w:t>
      </w:r>
    </w:p>
    <w:p w:rsidR="001178F6" w:rsidRDefault="001178F6" w:rsidP="005C4E78">
      <w:pPr>
        <w:jc w:val="both"/>
        <w:rPr>
          <w:rFonts w:ascii="Arial" w:hAnsi="Arial" w:cs="Arial"/>
          <w:iCs/>
          <w:sz w:val="26"/>
          <w:szCs w:val="26"/>
          <w:lang w:val="es-ES" w:eastAsia="es-CO"/>
        </w:rPr>
      </w:pPr>
    </w:p>
    <w:p w:rsidR="001178F6" w:rsidRDefault="001178F6" w:rsidP="005C4E78">
      <w:pPr>
        <w:jc w:val="both"/>
        <w:rPr>
          <w:rFonts w:ascii="Arial" w:hAnsi="Arial" w:cs="Arial"/>
          <w:b/>
          <w:bCs/>
          <w:iCs/>
          <w:sz w:val="26"/>
          <w:szCs w:val="26"/>
          <w:lang w:val="es-ES" w:eastAsia="es-CO"/>
        </w:rPr>
      </w:pPr>
      <w:r>
        <w:rPr>
          <w:rFonts w:ascii="Arial" w:hAnsi="Arial" w:cs="Arial"/>
          <w:b/>
          <w:bCs/>
          <w:iCs/>
          <w:sz w:val="26"/>
          <w:szCs w:val="26"/>
          <w:lang w:val="es-ES" w:eastAsia="es-CO"/>
        </w:rPr>
        <w:t>5. Contenido del proyecto de ley</w:t>
      </w:r>
    </w:p>
    <w:p w:rsidR="001178F6" w:rsidRDefault="001178F6" w:rsidP="005C4E78">
      <w:pPr>
        <w:jc w:val="both"/>
        <w:rPr>
          <w:rFonts w:ascii="Arial" w:hAnsi="Arial" w:cs="Arial"/>
          <w:b/>
          <w:bCs/>
          <w:iCs/>
          <w:sz w:val="26"/>
          <w:szCs w:val="26"/>
          <w:lang w:val="es-ES" w:eastAsia="es-CO"/>
        </w:rPr>
      </w:pPr>
    </w:p>
    <w:p w:rsidR="001178F6" w:rsidRDefault="005F63DE" w:rsidP="005C4E78">
      <w:pPr>
        <w:jc w:val="both"/>
        <w:rPr>
          <w:rFonts w:ascii="Arial" w:hAnsi="Arial" w:cs="Arial"/>
          <w:iCs/>
          <w:sz w:val="26"/>
          <w:szCs w:val="26"/>
          <w:lang w:val="es-ES" w:eastAsia="es-CO"/>
        </w:rPr>
      </w:pPr>
      <w:r>
        <w:rPr>
          <w:rFonts w:ascii="Arial" w:hAnsi="Arial" w:cs="Arial"/>
          <w:iCs/>
          <w:sz w:val="26"/>
          <w:szCs w:val="26"/>
          <w:lang w:val="es-ES" w:eastAsia="es-CO"/>
        </w:rPr>
        <w:t>Esta iniciativa</w:t>
      </w:r>
      <w:r w:rsidR="001178F6">
        <w:rPr>
          <w:rFonts w:ascii="Arial" w:hAnsi="Arial" w:cs="Arial"/>
          <w:iCs/>
          <w:sz w:val="26"/>
          <w:szCs w:val="26"/>
          <w:lang w:val="es-ES" w:eastAsia="es-CO"/>
        </w:rPr>
        <w:t xml:space="preserve"> busca definir de manera clara un mecanismo a través del cual los municipios puedan acreditar la posesión y el uso público de un bien par</w:t>
      </w:r>
      <w:r>
        <w:rPr>
          <w:rFonts w:ascii="Arial" w:hAnsi="Arial" w:cs="Arial"/>
          <w:iCs/>
          <w:sz w:val="26"/>
          <w:szCs w:val="26"/>
          <w:lang w:val="es-ES" w:eastAsia="es-CO"/>
        </w:rPr>
        <w:t>a</w:t>
      </w:r>
      <w:r w:rsidR="001178F6">
        <w:rPr>
          <w:rFonts w:ascii="Arial" w:hAnsi="Arial" w:cs="Arial"/>
          <w:iCs/>
          <w:sz w:val="26"/>
          <w:szCs w:val="26"/>
          <w:lang w:val="es-ES" w:eastAsia="es-CO"/>
        </w:rPr>
        <w:t xml:space="preserve"> efectos de aplicar lo dispuesto en el último inciso del artículo 48 de la Ley 1551 de 2012.</w:t>
      </w:r>
    </w:p>
    <w:p w:rsidR="001178F6" w:rsidRDefault="001178F6" w:rsidP="005C4E78">
      <w:pPr>
        <w:jc w:val="both"/>
        <w:rPr>
          <w:rFonts w:ascii="Arial" w:hAnsi="Arial" w:cs="Arial"/>
          <w:iCs/>
          <w:sz w:val="26"/>
          <w:szCs w:val="26"/>
          <w:lang w:val="es-ES" w:eastAsia="es-CO"/>
        </w:rPr>
      </w:pPr>
    </w:p>
    <w:p w:rsidR="001178F6" w:rsidRDefault="001178F6" w:rsidP="005C4E78">
      <w:pPr>
        <w:jc w:val="both"/>
        <w:rPr>
          <w:rFonts w:ascii="Arial" w:hAnsi="Arial" w:cs="Arial"/>
          <w:iCs/>
          <w:sz w:val="26"/>
          <w:szCs w:val="26"/>
          <w:lang w:val="es-ES" w:eastAsia="es-CO"/>
        </w:rPr>
      </w:pPr>
      <w:r>
        <w:rPr>
          <w:rFonts w:ascii="Arial" w:hAnsi="Arial" w:cs="Arial"/>
          <w:iCs/>
          <w:sz w:val="26"/>
          <w:szCs w:val="26"/>
          <w:lang w:val="es-ES" w:eastAsia="es-CO"/>
        </w:rPr>
        <w:t>El Consejo de Estado</w:t>
      </w:r>
      <w:r w:rsidR="005F63DE">
        <w:rPr>
          <w:rFonts w:ascii="Arial" w:hAnsi="Arial" w:cs="Arial"/>
          <w:iCs/>
          <w:sz w:val="26"/>
          <w:szCs w:val="26"/>
          <w:lang w:val="es-ES" w:eastAsia="es-CO"/>
        </w:rPr>
        <w:t xml:space="preserve">, mediante concepto derivado de consulta elevada a propósito de este asunto, </w:t>
      </w:r>
      <w:r>
        <w:rPr>
          <w:rFonts w:ascii="Arial" w:hAnsi="Arial" w:cs="Arial"/>
          <w:iCs/>
          <w:sz w:val="26"/>
          <w:szCs w:val="26"/>
          <w:lang w:val="es-ES" w:eastAsia="es-CO"/>
        </w:rPr>
        <w:t xml:space="preserve">ha admitido que </w:t>
      </w:r>
      <w:r w:rsidR="005F63DE">
        <w:rPr>
          <w:rFonts w:ascii="Arial" w:hAnsi="Arial" w:cs="Arial"/>
          <w:iCs/>
          <w:sz w:val="26"/>
          <w:szCs w:val="26"/>
          <w:lang w:val="es-ES" w:eastAsia="es-CO"/>
        </w:rPr>
        <w:t xml:space="preserve">la acreditación pueda </w:t>
      </w:r>
      <w:r w:rsidR="00545880">
        <w:rPr>
          <w:rFonts w:ascii="Arial" w:hAnsi="Arial" w:cs="Arial"/>
          <w:iCs/>
          <w:sz w:val="26"/>
          <w:szCs w:val="26"/>
          <w:lang w:val="es-ES" w:eastAsia="es-CO"/>
        </w:rPr>
        <w:t>efectuarse</w:t>
      </w:r>
      <w:r w:rsidR="005F63DE">
        <w:rPr>
          <w:rFonts w:ascii="Arial" w:hAnsi="Arial" w:cs="Arial"/>
          <w:iCs/>
          <w:sz w:val="26"/>
          <w:szCs w:val="26"/>
          <w:lang w:val="es-ES" w:eastAsia="es-CO"/>
        </w:rPr>
        <w:t xml:space="preserve"> mediante </w:t>
      </w:r>
      <w:r>
        <w:rPr>
          <w:rFonts w:ascii="Arial" w:hAnsi="Arial" w:cs="Arial"/>
          <w:iCs/>
          <w:sz w:val="26"/>
          <w:szCs w:val="26"/>
          <w:lang w:val="es-ES" w:eastAsia="es-CO"/>
        </w:rPr>
        <w:t>un acto administrativo debidamente motivado</w:t>
      </w:r>
      <w:r w:rsidR="00545880">
        <w:rPr>
          <w:rFonts w:ascii="Arial" w:hAnsi="Arial" w:cs="Arial"/>
          <w:iCs/>
          <w:sz w:val="26"/>
          <w:szCs w:val="26"/>
          <w:lang w:val="es-ES" w:eastAsia="es-CO"/>
        </w:rPr>
        <w:t>:</w:t>
      </w:r>
    </w:p>
    <w:p w:rsidR="001178F6" w:rsidRDefault="001178F6" w:rsidP="005C4E78">
      <w:pPr>
        <w:jc w:val="both"/>
        <w:rPr>
          <w:rFonts w:ascii="Arial" w:hAnsi="Arial" w:cs="Arial"/>
          <w:iCs/>
          <w:sz w:val="26"/>
          <w:szCs w:val="26"/>
          <w:lang w:val="es-ES" w:eastAsia="es-CO"/>
        </w:rPr>
      </w:pPr>
    </w:p>
    <w:p w:rsidR="001178F6" w:rsidRDefault="001178F6" w:rsidP="001178F6">
      <w:pPr>
        <w:ind w:left="284" w:right="284"/>
        <w:jc w:val="both"/>
        <w:rPr>
          <w:rFonts w:ascii="Arial" w:hAnsi="Arial" w:cs="Arial"/>
          <w:iCs/>
          <w:sz w:val="26"/>
          <w:szCs w:val="26"/>
          <w:lang w:eastAsia="es-CO"/>
        </w:rPr>
      </w:pPr>
      <w:r w:rsidRPr="001178F6">
        <w:rPr>
          <w:rFonts w:ascii="Arial" w:hAnsi="Arial" w:cs="Arial"/>
          <w:iCs/>
          <w:sz w:val="26"/>
          <w:szCs w:val="26"/>
          <w:lang w:val="es-ES" w:eastAsia="es-CO"/>
        </w:rPr>
        <w:t xml:space="preserve">Además, en atención a la naturaleza de los bienes públicos, el </w:t>
      </w:r>
      <w:r w:rsidRPr="001178F6">
        <w:rPr>
          <w:rFonts w:ascii="Arial" w:hAnsi="Arial" w:cs="Arial"/>
          <w:iCs/>
          <w:sz w:val="26"/>
          <w:szCs w:val="26"/>
          <w:lang w:eastAsia="es-CO"/>
        </w:rPr>
        <w:t xml:space="preserve">Estado también podrá, mediante acto administrativo debidamente motivado, el cual goza de la presunción de legalidad, manifestar, como lo haría un particular en una declaración de parte, que ejercen la posesión sobre el bien frente al cual se pretende la inversión con recursos de la Nación. Ahora bien, el acto deberá estar debidamente motivado no solo desde </w:t>
      </w:r>
      <w:r w:rsidRPr="001178F6">
        <w:rPr>
          <w:rFonts w:ascii="Arial" w:hAnsi="Arial" w:cs="Arial"/>
          <w:iCs/>
          <w:sz w:val="26"/>
          <w:szCs w:val="26"/>
          <w:lang w:eastAsia="es-CO"/>
        </w:rPr>
        <w:lastRenderedPageBreak/>
        <w:t>la perspectiva jurídica, sino fáctica, en tanto que solo se podrá señalar que se ejerce posesión sobre un inmueble cuando quiera que tengan lugar y sean plenamente verificables los “hechos positivos” a los que alude el artículo 981 del Código Civil, es decir, que la entidad territorial materialmente haya llevado a cabo obras de explotación del bien, construcción de edificios, cerramientos o actos materiales de la misma naturaleza o, como dice la norma, “de igual significación”.</w:t>
      </w:r>
      <w:r>
        <w:rPr>
          <w:rStyle w:val="Refdenotaalpie"/>
          <w:rFonts w:ascii="Arial" w:hAnsi="Arial" w:cs="Arial"/>
          <w:iCs/>
          <w:sz w:val="26"/>
          <w:szCs w:val="26"/>
          <w:lang w:eastAsia="es-CO"/>
        </w:rPr>
        <w:footnoteReference w:id="5"/>
      </w:r>
    </w:p>
    <w:p w:rsidR="005F63DE" w:rsidRDefault="005F63DE" w:rsidP="005F63DE">
      <w:pPr>
        <w:ind w:right="284"/>
        <w:jc w:val="both"/>
        <w:rPr>
          <w:rFonts w:ascii="Arial" w:hAnsi="Arial" w:cs="Arial"/>
          <w:iCs/>
          <w:sz w:val="26"/>
          <w:szCs w:val="26"/>
          <w:lang w:eastAsia="es-CO"/>
        </w:rPr>
      </w:pPr>
    </w:p>
    <w:p w:rsidR="005F63DE" w:rsidRDefault="005F63DE" w:rsidP="005F63DE">
      <w:pPr>
        <w:jc w:val="both"/>
        <w:rPr>
          <w:rFonts w:ascii="Arial" w:hAnsi="Arial" w:cs="Arial"/>
          <w:iCs/>
          <w:sz w:val="26"/>
          <w:szCs w:val="26"/>
          <w:lang w:eastAsia="es-CO"/>
        </w:rPr>
      </w:pPr>
      <w:r>
        <w:rPr>
          <w:rFonts w:ascii="Arial" w:hAnsi="Arial" w:cs="Arial"/>
          <w:iCs/>
          <w:sz w:val="26"/>
          <w:szCs w:val="26"/>
          <w:lang w:eastAsia="es-CO"/>
        </w:rPr>
        <w:t xml:space="preserve">En este sentido, la presente iniciativa incorpora elementos muy claros de interpretación normativa provenientes del Consejo de Estado. </w:t>
      </w:r>
      <w:r w:rsidR="00545880">
        <w:rPr>
          <w:rFonts w:ascii="Arial" w:hAnsi="Arial" w:cs="Arial"/>
          <w:iCs/>
          <w:sz w:val="26"/>
          <w:szCs w:val="26"/>
          <w:lang w:eastAsia="es-CO"/>
        </w:rPr>
        <w:t xml:space="preserve"> </w:t>
      </w:r>
      <w:r>
        <w:rPr>
          <w:rFonts w:ascii="Arial" w:hAnsi="Arial" w:cs="Arial"/>
          <w:iCs/>
          <w:sz w:val="26"/>
          <w:szCs w:val="26"/>
          <w:lang w:eastAsia="es-CO"/>
        </w:rPr>
        <w:t xml:space="preserve">Se aclara en la norma, en todo caso, que la acreditación no es otra cosa que la presunción de propiedad del municipio sobre el bien, lo cual no supone </w:t>
      </w:r>
      <w:r w:rsidR="00545880">
        <w:rPr>
          <w:rFonts w:ascii="Arial" w:hAnsi="Arial" w:cs="Arial"/>
          <w:iCs/>
          <w:sz w:val="26"/>
          <w:szCs w:val="26"/>
          <w:lang w:eastAsia="es-CO"/>
        </w:rPr>
        <w:t xml:space="preserve">otorgarle </w:t>
      </w:r>
      <w:r>
        <w:rPr>
          <w:rFonts w:ascii="Arial" w:hAnsi="Arial" w:cs="Arial"/>
          <w:iCs/>
          <w:sz w:val="26"/>
          <w:szCs w:val="26"/>
          <w:lang w:eastAsia="es-CO"/>
        </w:rPr>
        <w:t xml:space="preserve">la calidad plena de propietario. </w:t>
      </w: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r>
        <w:rPr>
          <w:rFonts w:ascii="Arial" w:hAnsi="Arial" w:cs="Arial"/>
          <w:iCs/>
          <w:sz w:val="26"/>
          <w:szCs w:val="26"/>
          <w:lang w:eastAsia="es-CO"/>
        </w:rPr>
        <w:t xml:space="preserve">Con este proyecto de ley se busca fortalecer a los municipios de Colombia, al brindarles herramientas jurídicas para poder efectuar las necesarias inversiones sociales que actualmente se encuentran pendientes por que i) a pesar que la norma los habilita para recibir recursos de la nación, en la práctica no logran acreditar la posesión y el uso público del bien; ii) el artículo 48 del Régimen Municipal no contempló la posibilidad de recibir recursos de inversión provenientes de los departamentos y de otros niveles de gobierno, por lo cual se propone habilitar esta posibilidad. </w:t>
      </w: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45880" w:rsidRPr="003723CE" w:rsidRDefault="00545880" w:rsidP="00545880">
      <w:pPr>
        <w:jc w:val="center"/>
        <w:rPr>
          <w:rFonts w:ascii="Arial" w:hAnsi="Arial" w:cs="Arial"/>
          <w:b/>
          <w:sz w:val="26"/>
          <w:szCs w:val="26"/>
        </w:rPr>
      </w:pPr>
      <w:r w:rsidRPr="003723CE">
        <w:rPr>
          <w:rFonts w:ascii="Arial" w:hAnsi="Arial" w:cs="Arial"/>
          <w:b/>
          <w:sz w:val="26"/>
          <w:szCs w:val="26"/>
        </w:rPr>
        <w:t>LUIS FERNANDO VELASCO CHAVES</w:t>
      </w:r>
    </w:p>
    <w:p w:rsidR="00545880" w:rsidRDefault="00545880" w:rsidP="00545880">
      <w:pPr>
        <w:jc w:val="center"/>
        <w:rPr>
          <w:rFonts w:ascii="Arial" w:hAnsi="Arial" w:cs="Arial"/>
          <w:sz w:val="26"/>
          <w:szCs w:val="26"/>
        </w:rPr>
      </w:pPr>
      <w:r w:rsidRPr="003723CE">
        <w:rPr>
          <w:rFonts w:ascii="Arial" w:hAnsi="Arial" w:cs="Arial"/>
          <w:sz w:val="26"/>
          <w:szCs w:val="26"/>
        </w:rPr>
        <w:t>Senador de la República</w:t>
      </w:r>
    </w:p>
    <w:p w:rsidR="00545880" w:rsidRDefault="00545880" w:rsidP="005F63DE">
      <w:pPr>
        <w:jc w:val="both"/>
        <w:rPr>
          <w:rFonts w:ascii="Arial" w:hAnsi="Arial" w:cs="Arial"/>
          <w:iCs/>
          <w:sz w:val="26"/>
          <w:szCs w:val="26"/>
          <w:lang w:eastAsia="es-CO"/>
        </w:rPr>
      </w:pPr>
    </w:p>
    <w:p w:rsidR="00545880" w:rsidRDefault="00545880" w:rsidP="005F63DE">
      <w:pPr>
        <w:jc w:val="both"/>
        <w:rPr>
          <w:rFonts w:ascii="Arial" w:hAnsi="Arial" w:cs="Arial"/>
          <w:iCs/>
          <w:sz w:val="26"/>
          <w:szCs w:val="26"/>
          <w:lang w:eastAsia="es-CO"/>
        </w:rPr>
      </w:pPr>
    </w:p>
    <w:p w:rsidR="005F63DE" w:rsidRDefault="005F63DE" w:rsidP="005F63DE">
      <w:pPr>
        <w:ind w:right="284"/>
        <w:jc w:val="both"/>
        <w:rPr>
          <w:rFonts w:ascii="Arial" w:hAnsi="Arial" w:cs="Arial"/>
          <w:iCs/>
          <w:sz w:val="26"/>
          <w:szCs w:val="26"/>
          <w:lang w:eastAsia="es-CO"/>
        </w:rPr>
      </w:pPr>
    </w:p>
    <w:p w:rsidR="005F63DE" w:rsidRPr="001178F6" w:rsidRDefault="005F63DE" w:rsidP="005F63DE">
      <w:pPr>
        <w:ind w:right="284"/>
        <w:jc w:val="both"/>
        <w:rPr>
          <w:rFonts w:ascii="Arial" w:hAnsi="Arial" w:cs="Arial"/>
          <w:iCs/>
          <w:sz w:val="26"/>
          <w:szCs w:val="26"/>
          <w:lang w:eastAsia="es-CO"/>
        </w:rPr>
      </w:pPr>
    </w:p>
    <w:p w:rsidR="001178F6" w:rsidRPr="001178F6" w:rsidRDefault="001178F6" w:rsidP="005C4E78">
      <w:pPr>
        <w:jc w:val="both"/>
        <w:rPr>
          <w:rFonts w:ascii="Arial" w:hAnsi="Arial" w:cs="Arial"/>
          <w:iCs/>
          <w:sz w:val="26"/>
          <w:szCs w:val="26"/>
          <w:lang w:val="es-CO" w:eastAsia="es-CO"/>
        </w:rPr>
      </w:pPr>
    </w:p>
    <w:p w:rsidR="00EC1190" w:rsidRPr="005C4E78" w:rsidRDefault="00EC1190" w:rsidP="005C4E78">
      <w:pPr>
        <w:jc w:val="both"/>
        <w:rPr>
          <w:rFonts w:ascii="Arial" w:hAnsi="Arial" w:cs="Arial"/>
          <w:iCs/>
          <w:sz w:val="26"/>
          <w:szCs w:val="26"/>
          <w:lang w:val="es-ES" w:eastAsia="es-CO"/>
        </w:rPr>
      </w:pPr>
    </w:p>
    <w:p w:rsidR="00ED221C" w:rsidRPr="005C4E78" w:rsidRDefault="00ED221C" w:rsidP="005C4E78">
      <w:pPr>
        <w:jc w:val="both"/>
        <w:rPr>
          <w:rFonts w:ascii="Arial" w:hAnsi="Arial" w:cs="Arial"/>
          <w:iCs/>
          <w:sz w:val="26"/>
          <w:szCs w:val="26"/>
          <w:lang w:val="es-CO" w:eastAsia="es-CO"/>
        </w:rPr>
      </w:pPr>
    </w:p>
    <w:p w:rsidR="00E50AC3" w:rsidRPr="00550DF4" w:rsidRDefault="00E50AC3" w:rsidP="00550DF4">
      <w:pPr>
        <w:ind w:right="284"/>
        <w:jc w:val="both"/>
        <w:rPr>
          <w:rFonts w:ascii="Arial" w:hAnsi="Arial" w:cs="Arial"/>
          <w:sz w:val="26"/>
          <w:szCs w:val="26"/>
        </w:rPr>
      </w:pPr>
    </w:p>
    <w:p w:rsidR="008A2D28" w:rsidRPr="00522F7D" w:rsidRDefault="008A2D28" w:rsidP="00522F7D">
      <w:pPr>
        <w:spacing w:line="276" w:lineRule="auto"/>
        <w:jc w:val="both"/>
        <w:rPr>
          <w:rFonts w:ascii="Arial" w:hAnsi="Arial" w:cs="Arial"/>
          <w:sz w:val="26"/>
          <w:szCs w:val="26"/>
        </w:rPr>
      </w:pPr>
    </w:p>
    <w:p w:rsidR="005A6E68" w:rsidRDefault="005A6E68" w:rsidP="00522F7D">
      <w:pPr>
        <w:spacing w:line="276" w:lineRule="auto"/>
        <w:jc w:val="both"/>
        <w:rPr>
          <w:rFonts w:ascii="Arial" w:hAnsi="Arial" w:cs="Arial"/>
          <w:sz w:val="26"/>
          <w:szCs w:val="26"/>
        </w:rPr>
      </w:pPr>
    </w:p>
    <w:p w:rsidR="005A6E68" w:rsidRDefault="005A6E68" w:rsidP="00522F7D">
      <w:pPr>
        <w:spacing w:line="276" w:lineRule="auto"/>
        <w:jc w:val="both"/>
        <w:rPr>
          <w:rFonts w:ascii="Arial" w:hAnsi="Arial" w:cs="Arial"/>
          <w:sz w:val="26"/>
          <w:szCs w:val="26"/>
        </w:rPr>
      </w:pPr>
    </w:p>
    <w:p w:rsidR="00C53B8F" w:rsidRDefault="00C53B8F" w:rsidP="00C53B8F">
      <w:pPr>
        <w:jc w:val="both"/>
        <w:rPr>
          <w:rFonts w:ascii="Arial" w:hAnsi="Arial" w:cs="Arial"/>
          <w:sz w:val="26"/>
          <w:szCs w:val="26"/>
        </w:rPr>
      </w:pPr>
    </w:p>
    <w:p w:rsidR="00C53B8F" w:rsidRPr="00C53B8F" w:rsidRDefault="00C53B8F" w:rsidP="00C53B8F">
      <w:pPr>
        <w:jc w:val="both"/>
        <w:rPr>
          <w:rFonts w:ascii="Arial" w:hAnsi="Arial" w:cs="Arial"/>
          <w:sz w:val="26"/>
          <w:szCs w:val="26"/>
          <w:lang w:val="es-ES"/>
        </w:rPr>
      </w:pPr>
    </w:p>
    <w:sectPr w:rsidR="00C53B8F" w:rsidRPr="00C53B8F" w:rsidSect="003723CE">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6A" w:rsidRDefault="00071D6A" w:rsidP="002F4C44">
      <w:r>
        <w:separator/>
      </w:r>
    </w:p>
  </w:endnote>
  <w:endnote w:type="continuationSeparator" w:id="0">
    <w:p w:rsidR="00071D6A" w:rsidRDefault="00071D6A" w:rsidP="002F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44" w:rsidRDefault="002F4C44" w:rsidP="002F4C44">
    <w:pPr>
      <w:pStyle w:val="Piedepgina"/>
      <w:jc w:val="center"/>
      <w:rPr>
        <w:sz w:val="14"/>
        <w:szCs w:val="14"/>
      </w:rPr>
    </w:pPr>
    <w:r>
      <w:rPr>
        <w:noProof/>
        <w:lang w:val="es-ES" w:eastAsia="es-ES"/>
      </w:rPr>
      <w:drawing>
        <wp:inline distT="0" distB="0" distL="0" distR="0" wp14:anchorId="7F944DD7" wp14:editId="777B3281">
          <wp:extent cx="2895600" cy="304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04800"/>
                  </a:xfrm>
                  <a:prstGeom prst="rect">
                    <a:avLst/>
                  </a:prstGeom>
                  <a:noFill/>
                  <a:ln>
                    <a:noFill/>
                  </a:ln>
                </pic:spPr>
              </pic:pic>
            </a:graphicData>
          </a:graphic>
        </wp:inline>
      </w:drawing>
    </w:r>
  </w:p>
  <w:p w:rsidR="002F4C44" w:rsidRDefault="002F4C44" w:rsidP="002F4C44">
    <w:pPr>
      <w:tabs>
        <w:tab w:val="center" w:pos="4252"/>
        <w:tab w:val="right" w:pos="8504"/>
      </w:tabs>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Carrera 7 No 8-68 - Edificio Nuevo Congreso, oficina 203</w:t>
    </w:r>
    <w:r w:rsidRPr="00F93AB4">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Teléfono</w:t>
    </w:r>
    <w:r w:rsidRPr="00F93AB4">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3823332 - 3823333</w:t>
    </w:r>
    <w:r w:rsidRPr="00F93AB4">
      <w:rPr>
        <w:rFonts w:ascii="Times New Roman" w:eastAsia="Times New Roman" w:hAnsi="Times New Roman" w:cs="Times New Roman"/>
        <w:sz w:val="20"/>
        <w:szCs w:val="20"/>
        <w:lang w:eastAsia="es-ES"/>
      </w:rPr>
      <w:t xml:space="preserve"> </w:t>
    </w:r>
  </w:p>
  <w:p w:rsidR="002F4C44" w:rsidRPr="00B654AB" w:rsidRDefault="00071D6A" w:rsidP="002F4C44">
    <w:pPr>
      <w:tabs>
        <w:tab w:val="center" w:pos="4252"/>
        <w:tab w:val="right" w:pos="8504"/>
      </w:tabs>
      <w:jc w:val="center"/>
      <w:rPr>
        <w:rFonts w:ascii="Times New Roman" w:eastAsia="Times New Roman" w:hAnsi="Times New Roman" w:cs="Times New Roman"/>
        <w:lang w:val="es-CO" w:eastAsia="es-ES"/>
      </w:rPr>
    </w:pPr>
    <w:hyperlink r:id="rId2" w:history="1">
      <w:r w:rsidR="002F4C44" w:rsidRPr="00B654AB">
        <w:rPr>
          <w:rStyle w:val="Hipervnculo"/>
          <w:rFonts w:ascii="Times New Roman" w:eastAsia="Times New Roman" w:hAnsi="Times New Roman" w:cs="Times New Roman"/>
          <w:sz w:val="20"/>
          <w:szCs w:val="20"/>
          <w:lang w:val="es-CO" w:eastAsia="es-ES"/>
        </w:rPr>
        <w:t>www.luisfernandovelasco.com.co</w:t>
      </w:r>
    </w:hyperlink>
    <w:r w:rsidR="002F4C44" w:rsidRPr="00B654AB">
      <w:rPr>
        <w:rFonts w:ascii="Times New Roman" w:eastAsia="Times New Roman" w:hAnsi="Times New Roman" w:cs="Times New Roman"/>
        <w:sz w:val="20"/>
        <w:szCs w:val="20"/>
        <w:lang w:val="es-CO" w:eastAsia="es-ES"/>
      </w:rPr>
      <w:t xml:space="preserve">  - Email </w:t>
    </w:r>
    <w:hyperlink r:id="rId3" w:history="1">
      <w:r w:rsidR="002F4C44" w:rsidRPr="00B654AB">
        <w:rPr>
          <w:rStyle w:val="Hipervnculo"/>
          <w:rFonts w:ascii="Times New Roman" w:eastAsia="Times New Roman" w:hAnsi="Times New Roman" w:cs="Times New Roman"/>
          <w:sz w:val="20"/>
          <w:szCs w:val="20"/>
          <w:lang w:val="es-CO" w:eastAsia="es-ES"/>
        </w:rPr>
        <w:t>velascoprensa@gmail.com</w:t>
      </w:r>
    </w:hyperlink>
    <w:r w:rsidR="002F4C44" w:rsidRPr="00B654AB">
      <w:rPr>
        <w:rFonts w:ascii="Times New Roman" w:eastAsia="Times New Roman" w:hAnsi="Times New Roman" w:cs="Times New Roman"/>
        <w:sz w:val="20"/>
        <w:szCs w:val="20"/>
        <w:lang w:val="es-CO" w:eastAsia="es-ES"/>
      </w:rPr>
      <w:t xml:space="preserve"> </w:t>
    </w:r>
  </w:p>
  <w:p w:rsidR="002F4C44" w:rsidRPr="005033C1" w:rsidRDefault="002F4C44" w:rsidP="002F4C44">
    <w:pPr>
      <w:pStyle w:val="Piedepgina"/>
      <w:jc w:val="center"/>
      <w:rPr>
        <w:lang w:val="es-CO"/>
      </w:rPr>
    </w:pPr>
    <w:r w:rsidRPr="009A77A2">
      <w:rPr>
        <w:rFonts w:ascii="Times New Roman" w:eastAsia="Times New Roman" w:hAnsi="Times New Roman" w:cs="Times New Roman"/>
        <w:sz w:val="20"/>
        <w:szCs w:val="20"/>
        <w:lang w:val="es-CO" w:eastAsia="es-ES"/>
      </w:rPr>
      <w:t>Bogotá, D.C - Colombia</w:t>
    </w:r>
  </w:p>
  <w:p w:rsidR="002F4C44" w:rsidRDefault="002F4C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6A" w:rsidRDefault="00071D6A" w:rsidP="002F4C44">
      <w:r>
        <w:separator/>
      </w:r>
    </w:p>
  </w:footnote>
  <w:footnote w:type="continuationSeparator" w:id="0">
    <w:p w:rsidR="00071D6A" w:rsidRDefault="00071D6A" w:rsidP="002F4C44">
      <w:r>
        <w:continuationSeparator/>
      </w:r>
    </w:p>
  </w:footnote>
  <w:footnote w:id="1">
    <w:p w:rsidR="008A2D28" w:rsidRPr="008A2D28" w:rsidRDefault="008A2D28">
      <w:pPr>
        <w:pStyle w:val="Textonotapie"/>
        <w:rPr>
          <w:lang w:val="es-ES"/>
        </w:rPr>
      </w:pPr>
      <w:r>
        <w:rPr>
          <w:rStyle w:val="Refdenotaalpie"/>
        </w:rPr>
        <w:footnoteRef/>
      </w:r>
      <w:r>
        <w:t xml:space="preserve"> </w:t>
      </w:r>
      <w:r>
        <w:rPr>
          <w:lang w:val="es-ES"/>
        </w:rPr>
        <w:t>Consejo de Estado, concepto 2154 del 18 de junio de 2014. Sala de Consulta y Servicio Civil. Consejero Ponente: Álvaro Namén Vargas.</w:t>
      </w:r>
    </w:p>
  </w:footnote>
  <w:footnote w:id="2">
    <w:p w:rsidR="00E60DD6" w:rsidRPr="00E60DD6" w:rsidRDefault="00E60DD6">
      <w:pPr>
        <w:pStyle w:val="Textonotapie"/>
        <w:rPr>
          <w:lang w:val="es-ES"/>
        </w:rPr>
      </w:pPr>
      <w:r>
        <w:rPr>
          <w:rStyle w:val="Refdenotaalpie"/>
        </w:rPr>
        <w:footnoteRef/>
      </w:r>
      <w:r>
        <w:t xml:space="preserve"> </w:t>
      </w:r>
      <w:r w:rsidRPr="00980E03">
        <w:rPr>
          <w:rFonts w:ascii="Arial" w:hAnsi="Arial" w:cs="Arial"/>
        </w:rPr>
        <w:t>Corte Suprema de Justicia, Sala de Casación Civil, Sentencia del 22 de agosto de 1957</w:t>
      </w:r>
    </w:p>
  </w:footnote>
  <w:footnote w:id="3">
    <w:p w:rsidR="005C4E78" w:rsidRPr="005C4E78" w:rsidRDefault="005C4E78">
      <w:pPr>
        <w:pStyle w:val="Textonotapie"/>
        <w:rPr>
          <w:lang w:val="es-ES"/>
        </w:rPr>
      </w:pPr>
      <w:r>
        <w:rPr>
          <w:rStyle w:val="Refdenotaalpie"/>
        </w:rPr>
        <w:footnoteRef/>
      </w:r>
      <w:r>
        <w:t xml:space="preserve"> </w:t>
      </w:r>
      <w:r>
        <w:rPr>
          <w:lang w:val="es-ES"/>
        </w:rPr>
        <w:t>Ibíd.</w:t>
      </w:r>
    </w:p>
  </w:footnote>
  <w:footnote w:id="4">
    <w:p w:rsidR="007A08EB" w:rsidRPr="002B532D" w:rsidRDefault="007A08EB" w:rsidP="007A08EB">
      <w:pPr>
        <w:jc w:val="both"/>
        <w:rPr>
          <w:rFonts w:ascii="Arial" w:hAnsi="Arial" w:cs="Arial"/>
          <w:sz w:val="20"/>
          <w:szCs w:val="20"/>
        </w:rPr>
      </w:pPr>
      <w:r w:rsidRPr="002B532D">
        <w:rPr>
          <w:rStyle w:val="Refdenotaalpie"/>
          <w:rFonts w:ascii="Arial" w:hAnsi="Arial" w:cs="Arial"/>
        </w:rPr>
        <w:footnoteRef/>
      </w:r>
      <w:r w:rsidRPr="002B532D">
        <w:rPr>
          <w:rFonts w:ascii="Arial" w:hAnsi="Arial" w:cs="Arial"/>
          <w:sz w:val="20"/>
          <w:szCs w:val="20"/>
        </w:rPr>
        <w:t xml:space="preserve"> Consejo de Estado, Sección Tercera, Subsección A, sentencia del 12 de febrero de 2014, </w:t>
      </w:r>
      <w:r w:rsidRPr="002B532D">
        <w:rPr>
          <w:rFonts w:ascii="Arial" w:hAnsi="Arial" w:cs="Arial"/>
          <w:sz w:val="20"/>
          <w:szCs w:val="20"/>
        </w:rPr>
        <w:t>exp. n.° 26.926</w:t>
      </w:r>
    </w:p>
  </w:footnote>
  <w:footnote w:id="5">
    <w:p w:rsidR="001178F6" w:rsidRPr="001178F6" w:rsidRDefault="001178F6">
      <w:pPr>
        <w:pStyle w:val="Textonotapie"/>
        <w:rPr>
          <w:lang w:val="es-ES"/>
        </w:rPr>
      </w:pPr>
      <w:r>
        <w:rPr>
          <w:rStyle w:val="Refdenotaalpie"/>
        </w:rPr>
        <w:footnoteRef/>
      </w:r>
      <w:r>
        <w:t xml:space="preserve"> </w:t>
      </w:r>
      <w:r w:rsidRPr="00980E03">
        <w:rPr>
          <w:rFonts w:ascii="Arial" w:hAnsi="Arial" w:cs="Arial"/>
        </w:rPr>
        <w:t>Corte Suprema de Justicia, Sala de Casación Civil, Sentencia del 22 de agosto de 1957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44" w:rsidRDefault="002F4C44" w:rsidP="002F4C44">
    <w:pPr>
      <w:pStyle w:val="Encabezado"/>
      <w:jc w:val="center"/>
    </w:pPr>
    <w:r>
      <w:rPr>
        <w:noProof/>
        <w:lang w:val="es-ES" w:eastAsia="es-ES"/>
      </w:rPr>
      <w:drawing>
        <wp:inline distT="0" distB="0" distL="0" distR="0" wp14:anchorId="14D2C5BD" wp14:editId="74F895B6">
          <wp:extent cx="2162175" cy="71252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20270"/>
                  <a:stretch/>
                </pic:blipFill>
                <pic:spPr bwMode="auto">
                  <a:xfrm>
                    <a:off x="0" y="0"/>
                    <a:ext cx="2164193" cy="713185"/>
                  </a:xfrm>
                  <a:prstGeom prst="rect">
                    <a:avLst/>
                  </a:prstGeom>
                  <a:noFill/>
                  <a:ln>
                    <a:noFill/>
                  </a:ln>
                  <a:extLst>
                    <a:ext uri="{53640926-AAD7-44D8-BBD7-CCE9431645EC}">
                      <a14:shadowObscured xmlns:a14="http://schemas.microsoft.com/office/drawing/2010/main"/>
                    </a:ext>
                  </a:extLst>
                </pic:spPr>
              </pic:pic>
            </a:graphicData>
          </a:graphic>
        </wp:inline>
      </w:drawing>
    </w:r>
  </w:p>
  <w:p w:rsidR="002F4C44" w:rsidRPr="002C6F3D" w:rsidRDefault="002F4C44" w:rsidP="002F4C44">
    <w:pPr>
      <w:pStyle w:val="Encabezado"/>
      <w:jc w:val="center"/>
      <w:rPr>
        <w:rFonts w:ascii="Arial" w:eastAsia="Arial Unicode MS" w:hAnsi="Arial" w:cs="Arial"/>
        <w:color w:val="948A54" w:themeColor="background2" w:themeShade="80"/>
      </w:rPr>
    </w:pPr>
    <w:r w:rsidRPr="002C6F3D">
      <w:rPr>
        <w:rFonts w:ascii="Arial" w:eastAsia="Arial Unicode MS" w:hAnsi="Arial" w:cs="Arial"/>
        <w:color w:val="948A54" w:themeColor="background2" w:themeShade="80"/>
      </w:rPr>
      <w:t>Luis Fernando Velasco Chaves</w:t>
    </w:r>
  </w:p>
  <w:p w:rsidR="002F4C44" w:rsidRPr="002C6F3D" w:rsidRDefault="002F4C44" w:rsidP="002F4C44">
    <w:pPr>
      <w:pStyle w:val="Encabezado"/>
      <w:jc w:val="center"/>
      <w:rPr>
        <w:rFonts w:ascii="Arial" w:eastAsia="Arial Unicode MS" w:hAnsi="Arial" w:cs="Arial"/>
        <w:color w:val="948A54" w:themeColor="background2" w:themeShade="80"/>
      </w:rPr>
    </w:pPr>
    <w:r w:rsidRPr="002C6F3D">
      <w:rPr>
        <w:rFonts w:ascii="Arial" w:eastAsia="Arial Unicode MS" w:hAnsi="Arial" w:cs="Arial"/>
        <w:color w:val="948A54" w:themeColor="background2" w:themeShade="80"/>
      </w:rPr>
      <w:t>Senador de la República</w:t>
    </w:r>
  </w:p>
  <w:p w:rsidR="002F4C44" w:rsidRDefault="002F4C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C4"/>
    <w:rsid w:val="00010B29"/>
    <w:rsid w:val="00053886"/>
    <w:rsid w:val="00071D6A"/>
    <w:rsid w:val="000E16D5"/>
    <w:rsid w:val="001178F6"/>
    <w:rsid w:val="00121A1D"/>
    <w:rsid w:val="00123195"/>
    <w:rsid w:val="00130606"/>
    <w:rsid w:val="002F12B4"/>
    <w:rsid w:val="002F4C44"/>
    <w:rsid w:val="003723CE"/>
    <w:rsid w:val="003A3A97"/>
    <w:rsid w:val="003C4C53"/>
    <w:rsid w:val="00430725"/>
    <w:rsid w:val="004A32FB"/>
    <w:rsid w:val="00506DCB"/>
    <w:rsid w:val="00522F7D"/>
    <w:rsid w:val="00545880"/>
    <w:rsid w:val="00550DF4"/>
    <w:rsid w:val="00591D02"/>
    <w:rsid w:val="005950CF"/>
    <w:rsid w:val="005A6E68"/>
    <w:rsid w:val="005A6F32"/>
    <w:rsid w:val="005C4E78"/>
    <w:rsid w:val="005F63DE"/>
    <w:rsid w:val="0060087E"/>
    <w:rsid w:val="00634729"/>
    <w:rsid w:val="006450A1"/>
    <w:rsid w:val="006C1AB9"/>
    <w:rsid w:val="006E594E"/>
    <w:rsid w:val="00700491"/>
    <w:rsid w:val="0070648F"/>
    <w:rsid w:val="007A08EB"/>
    <w:rsid w:val="00801A36"/>
    <w:rsid w:val="008A2D28"/>
    <w:rsid w:val="008D1737"/>
    <w:rsid w:val="00903003"/>
    <w:rsid w:val="00946BD8"/>
    <w:rsid w:val="00963571"/>
    <w:rsid w:val="00A436ED"/>
    <w:rsid w:val="00A44EE1"/>
    <w:rsid w:val="00AA2196"/>
    <w:rsid w:val="00AB68A6"/>
    <w:rsid w:val="00B0172D"/>
    <w:rsid w:val="00B03183"/>
    <w:rsid w:val="00B2526B"/>
    <w:rsid w:val="00C314F3"/>
    <w:rsid w:val="00C53B8F"/>
    <w:rsid w:val="00C73BF5"/>
    <w:rsid w:val="00E50AC3"/>
    <w:rsid w:val="00E60DD6"/>
    <w:rsid w:val="00EB01C4"/>
    <w:rsid w:val="00EC1190"/>
    <w:rsid w:val="00ED221C"/>
    <w:rsid w:val="00F22884"/>
    <w:rsid w:val="00F96371"/>
    <w:rsid w:val="00FA2631"/>
    <w:rsid w:val="00FB3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362F"/>
  <w15:docId w15:val="{CE21FD8D-7098-0D4A-B20C-6857F12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1C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C44"/>
    <w:pPr>
      <w:tabs>
        <w:tab w:val="center" w:pos="4252"/>
        <w:tab w:val="right" w:pos="8504"/>
      </w:tabs>
    </w:pPr>
  </w:style>
  <w:style w:type="character" w:customStyle="1" w:styleId="EncabezadoCar">
    <w:name w:val="Encabezado Car"/>
    <w:basedOn w:val="Fuentedeprrafopredeter"/>
    <w:link w:val="Encabezado"/>
    <w:uiPriority w:val="99"/>
    <w:rsid w:val="002F4C44"/>
    <w:rPr>
      <w:sz w:val="24"/>
      <w:szCs w:val="24"/>
      <w:lang w:val="es-ES_tradnl"/>
    </w:rPr>
  </w:style>
  <w:style w:type="paragraph" w:styleId="Piedepgina">
    <w:name w:val="footer"/>
    <w:basedOn w:val="Normal"/>
    <w:link w:val="PiedepginaCar"/>
    <w:unhideWhenUsed/>
    <w:rsid w:val="002F4C44"/>
    <w:pPr>
      <w:tabs>
        <w:tab w:val="center" w:pos="4252"/>
        <w:tab w:val="right" w:pos="8504"/>
      </w:tabs>
    </w:pPr>
  </w:style>
  <w:style w:type="character" w:customStyle="1" w:styleId="PiedepginaCar">
    <w:name w:val="Pie de página Car"/>
    <w:basedOn w:val="Fuentedeprrafopredeter"/>
    <w:link w:val="Piedepgina"/>
    <w:rsid w:val="002F4C44"/>
    <w:rPr>
      <w:sz w:val="24"/>
      <w:szCs w:val="24"/>
      <w:lang w:val="es-ES_tradnl"/>
    </w:rPr>
  </w:style>
  <w:style w:type="paragraph" w:styleId="Textodeglobo">
    <w:name w:val="Balloon Text"/>
    <w:basedOn w:val="Normal"/>
    <w:link w:val="TextodegloboCar"/>
    <w:uiPriority w:val="99"/>
    <w:semiHidden/>
    <w:unhideWhenUsed/>
    <w:rsid w:val="002F4C4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C44"/>
    <w:rPr>
      <w:rFonts w:ascii="Tahoma" w:hAnsi="Tahoma" w:cs="Tahoma"/>
      <w:sz w:val="16"/>
      <w:szCs w:val="16"/>
      <w:lang w:val="es-ES_tradnl"/>
    </w:rPr>
  </w:style>
  <w:style w:type="character" w:styleId="Hipervnculo">
    <w:name w:val="Hyperlink"/>
    <w:basedOn w:val="Fuentedeprrafopredeter"/>
    <w:uiPriority w:val="99"/>
    <w:unhideWhenUsed/>
    <w:rsid w:val="002F4C44"/>
    <w:rPr>
      <w:color w:val="0000FF" w:themeColor="hyperlink"/>
      <w:u w:val="single"/>
    </w:rPr>
  </w:style>
  <w:style w:type="paragraph" w:styleId="Textonotapie">
    <w:name w:val="footnote text"/>
    <w:basedOn w:val="Normal"/>
    <w:link w:val="TextonotapieCar"/>
    <w:uiPriority w:val="99"/>
    <w:semiHidden/>
    <w:unhideWhenUsed/>
    <w:rsid w:val="008A2D28"/>
    <w:rPr>
      <w:sz w:val="20"/>
      <w:szCs w:val="20"/>
    </w:rPr>
  </w:style>
  <w:style w:type="character" w:customStyle="1" w:styleId="TextonotapieCar">
    <w:name w:val="Texto nota pie Car"/>
    <w:basedOn w:val="Fuentedeprrafopredeter"/>
    <w:link w:val="Textonotapie"/>
    <w:uiPriority w:val="99"/>
    <w:semiHidden/>
    <w:rsid w:val="008A2D28"/>
    <w:rPr>
      <w:sz w:val="20"/>
      <w:szCs w:val="20"/>
      <w:lang w:val="es-ES_tradnl"/>
    </w:rPr>
  </w:style>
  <w:style w:type="character" w:styleId="Refdenotaalpie">
    <w:name w:val="footnote reference"/>
    <w:basedOn w:val="Fuentedeprrafopredeter"/>
    <w:uiPriority w:val="99"/>
    <w:semiHidden/>
    <w:unhideWhenUsed/>
    <w:rsid w:val="008A2D28"/>
    <w:rPr>
      <w:vertAlign w:val="superscript"/>
    </w:rPr>
  </w:style>
  <w:style w:type="paragraph" w:styleId="NormalWeb">
    <w:name w:val="Normal (Web)"/>
    <w:basedOn w:val="Normal"/>
    <w:uiPriority w:val="99"/>
    <w:semiHidden/>
    <w:unhideWhenUsed/>
    <w:rsid w:val="00ED221C"/>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8019">
      <w:bodyDiv w:val="1"/>
      <w:marLeft w:val="0"/>
      <w:marRight w:val="0"/>
      <w:marTop w:val="0"/>
      <w:marBottom w:val="0"/>
      <w:divBdr>
        <w:top w:val="none" w:sz="0" w:space="0" w:color="auto"/>
        <w:left w:val="none" w:sz="0" w:space="0" w:color="auto"/>
        <w:bottom w:val="none" w:sz="0" w:space="0" w:color="auto"/>
        <w:right w:val="none" w:sz="0" w:space="0" w:color="auto"/>
      </w:divBdr>
    </w:div>
    <w:div w:id="790515605">
      <w:bodyDiv w:val="1"/>
      <w:marLeft w:val="0"/>
      <w:marRight w:val="0"/>
      <w:marTop w:val="0"/>
      <w:marBottom w:val="0"/>
      <w:divBdr>
        <w:top w:val="none" w:sz="0" w:space="0" w:color="auto"/>
        <w:left w:val="none" w:sz="0" w:space="0" w:color="auto"/>
        <w:bottom w:val="none" w:sz="0" w:space="0" w:color="auto"/>
        <w:right w:val="none" w:sz="0" w:space="0" w:color="auto"/>
      </w:divBdr>
    </w:div>
    <w:div w:id="857546342">
      <w:bodyDiv w:val="1"/>
      <w:marLeft w:val="0"/>
      <w:marRight w:val="0"/>
      <w:marTop w:val="0"/>
      <w:marBottom w:val="0"/>
      <w:divBdr>
        <w:top w:val="none" w:sz="0" w:space="0" w:color="auto"/>
        <w:left w:val="none" w:sz="0" w:space="0" w:color="auto"/>
        <w:bottom w:val="none" w:sz="0" w:space="0" w:color="auto"/>
        <w:right w:val="none" w:sz="0" w:space="0" w:color="auto"/>
      </w:divBdr>
      <w:divsChild>
        <w:div w:id="570896436">
          <w:marLeft w:val="547"/>
          <w:marRight w:val="0"/>
          <w:marTop w:val="130"/>
          <w:marBottom w:val="0"/>
          <w:divBdr>
            <w:top w:val="none" w:sz="0" w:space="0" w:color="auto"/>
            <w:left w:val="none" w:sz="0" w:space="0" w:color="auto"/>
            <w:bottom w:val="none" w:sz="0" w:space="0" w:color="auto"/>
            <w:right w:val="none" w:sz="0" w:space="0" w:color="auto"/>
          </w:divBdr>
        </w:div>
        <w:div w:id="445926477">
          <w:marLeft w:val="547"/>
          <w:marRight w:val="0"/>
          <w:marTop w:val="130"/>
          <w:marBottom w:val="0"/>
          <w:divBdr>
            <w:top w:val="none" w:sz="0" w:space="0" w:color="auto"/>
            <w:left w:val="none" w:sz="0" w:space="0" w:color="auto"/>
            <w:bottom w:val="none" w:sz="0" w:space="0" w:color="auto"/>
            <w:right w:val="none" w:sz="0" w:space="0" w:color="auto"/>
          </w:divBdr>
        </w:div>
      </w:divsChild>
    </w:div>
    <w:div w:id="10501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elascoprensa@gmail.com" TargetMode="External"/><Relationship Id="rId2" Type="http://schemas.openxmlformats.org/officeDocument/2006/relationships/hyperlink" Target="http://www.luisfernandovelasco.com.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DB32-2618-BE4B-820A-D88DB85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1692</Words>
  <Characters>9308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Luis Fernando Velasco Chavez</dc:creator>
  <cp:lastModifiedBy>KEVIN FERNANDO HENAO MARTINEZ</cp:lastModifiedBy>
  <cp:revision>11</cp:revision>
  <cp:lastPrinted>2019-08-26T19:19:00Z</cp:lastPrinted>
  <dcterms:created xsi:type="dcterms:W3CDTF">2019-08-27T01:36:00Z</dcterms:created>
  <dcterms:modified xsi:type="dcterms:W3CDTF">2019-08-27T15:28:00Z</dcterms:modified>
</cp:coreProperties>
</file>